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9A" w:rsidRPr="000F5566" w:rsidRDefault="004006E9" w:rsidP="003E029A">
      <w:pPr>
        <w:jc w:val="center"/>
        <w:rPr>
          <w:rFonts w:ascii="Arial" w:hAnsi="Arial" w:cs="Arial"/>
          <w:b/>
          <w:bCs/>
          <w:u w:val="single"/>
        </w:rPr>
      </w:pPr>
      <w:r>
        <w:rPr>
          <w:rFonts w:ascii="Arial" w:hAnsi="Arial" w:cs="Arial"/>
          <w:b/>
          <w:bCs/>
          <w:u w:val="single"/>
        </w:rPr>
        <w:t>REGENERATION AND HOUSING</w:t>
      </w:r>
      <w:r w:rsidR="003E029A" w:rsidRPr="000F5566">
        <w:rPr>
          <w:rFonts w:ascii="Arial" w:hAnsi="Arial" w:cs="Arial"/>
          <w:b/>
          <w:bCs/>
          <w:u w:val="single"/>
        </w:rPr>
        <w:t xml:space="preserve"> DIRECTORATE</w:t>
      </w:r>
    </w:p>
    <w:p w:rsidR="003E029A" w:rsidRDefault="003E029A" w:rsidP="003E029A">
      <w:pPr>
        <w:rPr>
          <w:rFonts w:ascii="Arial" w:hAnsi="Arial" w:cs="Arial"/>
          <w:b/>
          <w:bCs/>
        </w:rPr>
      </w:pPr>
    </w:p>
    <w:p w:rsidR="003E029A" w:rsidRDefault="003E029A" w:rsidP="003E029A">
      <w:pPr>
        <w:rPr>
          <w:rFonts w:ascii="Arial" w:hAnsi="Arial" w:cs="Arial"/>
          <w:b/>
          <w:bCs/>
        </w:rPr>
      </w:pPr>
    </w:p>
    <w:p w:rsidR="004006E9" w:rsidRDefault="004006E9" w:rsidP="004006E9">
      <w:pPr>
        <w:numPr>
          <w:ilvl w:val="0"/>
          <w:numId w:val="1"/>
        </w:numPr>
        <w:autoSpaceDE w:val="0"/>
        <w:autoSpaceDN w:val="0"/>
        <w:adjustRightInd w:val="0"/>
        <w:spacing w:after="120"/>
        <w:ind w:left="709" w:hanging="425"/>
        <w:rPr>
          <w:rFonts w:ascii="Arial" w:hAnsi="Arial" w:cs="Arial"/>
          <w:b/>
          <w:bCs/>
          <w:color w:val="000000"/>
          <w:sz w:val="22"/>
          <w:szCs w:val="22"/>
          <w:u w:val="single"/>
        </w:rPr>
      </w:pPr>
      <w:r w:rsidRPr="00D97B2E">
        <w:rPr>
          <w:rFonts w:ascii="Arial" w:hAnsi="Arial" w:cs="Arial"/>
          <w:b/>
          <w:bCs/>
          <w:color w:val="000000"/>
          <w:sz w:val="22"/>
          <w:szCs w:val="22"/>
          <w:u w:val="single"/>
        </w:rPr>
        <w:t>D</w:t>
      </w:r>
      <w:r>
        <w:rPr>
          <w:rFonts w:ascii="Arial" w:hAnsi="Arial" w:cs="Arial"/>
          <w:b/>
          <w:bCs/>
          <w:color w:val="000000"/>
          <w:sz w:val="22"/>
          <w:szCs w:val="22"/>
          <w:u w:val="single"/>
        </w:rPr>
        <w:t>irectorate Overview</w:t>
      </w:r>
    </w:p>
    <w:p w:rsidR="004006E9" w:rsidRPr="007D3858" w:rsidRDefault="004006E9" w:rsidP="004006E9">
      <w:pPr>
        <w:ind w:left="709" w:hanging="425"/>
        <w:rPr>
          <w:rFonts w:ascii="Arial" w:hAnsi="Arial" w:cs="Arial"/>
          <w:bCs/>
          <w:sz w:val="22"/>
          <w:szCs w:val="22"/>
        </w:rPr>
      </w:pPr>
      <w:r w:rsidRPr="007D3858">
        <w:rPr>
          <w:rFonts w:ascii="Arial" w:hAnsi="Arial" w:cs="Arial"/>
          <w:bCs/>
          <w:sz w:val="22"/>
          <w:szCs w:val="22"/>
        </w:rPr>
        <w:t>1.1</w:t>
      </w:r>
      <w:r w:rsidRPr="007D3858">
        <w:rPr>
          <w:rFonts w:ascii="Arial" w:hAnsi="Arial" w:cs="Arial"/>
          <w:bCs/>
          <w:sz w:val="22"/>
          <w:szCs w:val="22"/>
        </w:rPr>
        <w:tab/>
      </w:r>
      <w:r w:rsidR="00965865">
        <w:rPr>
          <w:rFonts w:ascii="Arial" w:hAnsi="Arial" w:cs="Arial"/>
          <w:bCs/>
          <w:sz w:val="22"/>
          <w:szCs w:val="22"/>
        </w:rPr>
        <w:t>There is a financial pressure of £0.255 million within the Directorate overall.</w:t>
      </w:r>
    </w:p>
    <w:p w:rsidR="004006E9" w:rsidRPr="00694C04" w:rsidRDefault="004006E9" w:rsidP="004006E9">
      <w:pPr>
        <w:ind w:left="709" w:hanging="425"/>
        <w:rPr>
          <w:rFonts w:ascii="Arial" w:hAnsi="Arial" w:cs="Arial"/>
          <w:bCs/>
          <w:sz w:val="22"/>
          <w:szCs w:val="22"/>
          <w:highlight w:val="yellow"/>
        </w:rPr>
      </w:pPr>
    </w:p>
    <w:p w:rsidR="004006E9" w:rsidRPr="00694C04" w:rsidRDefault="004006E9" w:rsidP="004006E9">
      <w:pPr>
        <w:numPr>
          <w:ilvl w:val="1"/>
          <w:numId w:val="1"/>
        </w:numPr>
        <w:ind w:hanging="436"/>
        <w:rPr>
          <w:rFonts w:ascii="Arial" w:hAnsi="Arial" w:cs="Arial"/>
          <w:bCs/>
          <w:sz w:val="22"/>
          <w:szCs w:val="22"/>
        </w:rPr>
      </w:pPr>
      <w:r w:rsidRPr="00694C04">
        <w:rPr>
          <w:rFonts w:ascii="Arial" w:hAnsi="Arial" w:cs="Arial"/>
          <w:bCs/>
          <w:sz w:val="22"/>
          <w:szCs w:val="22"/>
        </w:rPr>
        <w:t>F</w:t>
      </w:r>
      <w:r w:rsidR="00694C04" w:rsidRPr="00694C04">
        <w:rPr>
          <w:rFonts w:ascii="Arial" w:hAnsi="Arial" w:cs="Arial"/>
          <w:bCs/>
          <w:sz w:val="22"/>
          <w:szCs w:val="22"/>
        </w:rPr>
        <w:t>or the Directorate as a whole 9</w:t>
      </w:r>
      <w:r w:rsidRPr="00694C04">
        <w:rPr>
          <w:rFonts w:ascii="Arial" w:hAnsi="Arial" w:cs="Arial"/>
          <w:bCs/>
          <w:sz w:val="22"/>
          <w:szCs w:val="22"/>
        </w:rPr>
        <w:t xml:space="preserve"> (</w:t>
      </w:r>
      <w:r w:rsidR="00694C04" w:rsidRPr="00694C04">
        <w:rPr>
          <w:rFonts w:ascii="Arial" w:hAnsi="Arial" w:cs="Arial"/>
          <w:bCs/>
          <w:sz w:val="22"/>
          <w:szCs w:val="22"/>
        </w:rPr>
        <w:t>70</w:t>
      </w:r>
      <w:r w:rsidRPr="00694C04">
        <w:rPr>
          <w:rFonts w:ascii="Arial" w:hAnsi="Arial" w:cs="Arial"/>
          <w:bCs/>
          <w:sz w:val="22"/>
          <w:szCs w:val="22"/>
        </w:rPr>
        <w:t>%) performan</w:t>
      </w:r>
      <w:r w:rsidR="00694C04" w:rsidRPr="00694C04">
        <w:rPr>
          <w:rFonts w:ascii="Arial" w:hAnsi="Arial" w:cs="Arial"/>
          <w:bCs/>
          <w:sz w:val="22"/>
          <w:szCs w:val="22"/>
        </w:rPr>
        <w:t xml:space="preserve">ce measures are on target with </w:t>
      </w:r>
      <w:proofErr w:type="gramStart"/>
      <w:r w:rsidR="00694C04" w:rsidRPr="00694C04">
        <w:rPr>
          <w:rFonts w:ascii="Arial" w:hAnsi="Arial" w:cs="Arial"/>
          <w:bCs/>
          <w:sz w:val="22"/>
          <w:szCs w:val="22"/>
        </w:rPr>
        <w:t>2</w:t>
      </w:r>
      <w:r w:rsidRPr="00694C04">
        <w:rPr>
          <w:rFonts w:ascii="Arial" w:hAnsi="Arial" w:cs="Arial"/>
          <w:bCs/>
          <w:sz w:val="22"/>
          <w:szCs w:val="22"/>
        </w:rPr>
        <w:t xml:space="preserve">  (</w:t>
      </w:r>
      <w:proofErr w:type="gramEnd"/>
      <w:r w:rsidR="00694C04" w:rsidRPr="00694C04">
        <w:rPr>
          <w:rFonts w:ascii="Arial" w:hAnsi="Arial" w:cs="Arial"/>
          <w:bCs/>
          <w:sz w:val="22"/>
          <w:szCs w:val="22"/>
        </w:rPr>
        <w:t>15%</w:t>
      </w:r>
      <w:r w:rsidRPr="00694C04">
        <w:rPr>
          <w:rFonts w:ascii="Arial" w:hAnsi="Arial" w:cs="Arial"/>
          <w:bCs/>
          <w:sz w:val="22"/>
          <w:szCs w:val="22"/>
        </w:rPr>
        <w:t>) off target but within acceptable tolerances and 2 (15%) off target</w:t>
      </w:r>
      <w:r w:rsidR="00694C04">
        <w:rPr>
          <w:rFonts w:ascii="Arial" w:hAnsi="Arial" w:cs="Arial"/>
          <w:bCs/>
          <w:sz w:val="22"/>
          <w:szCs w:val="22"/>
        </w:rPr>
        <w:t>.</w:t>
      </w:r>
      <w:r w:rsidRPr="00694C04">
        <w:rPr>
          <w:rFonts w:ascii="Arial" w:hAnsi="Arial" w:cs="Arial"/>
          <w:bCs/>
          <w:sz w:val="22"/>
          <w:szCs w:val="22"/>
        </w:rPr>
        <w:t xml:space="preserve"> </w:t>
      </w:r>
    </w:p>
    <w:p w:rsidR="004006E9" w:rsidRDefault="004006E9" w:rsidP="004006E9">
      <w:pPr>
        <w:ind w:left="720" w:hanging="436"/>
        <w:rPr>
          <w:rFonts w:ascii="Arial" w:hAnsi="Arial" w:cs="Arial"/>
          <w:bCs/>
          <w:sz w:val="22"/>
          <w:szCs w:val="22"/>
        </w:rPr>
      </w:pPr>
    </w:p>
    <w:p w:rsidR="004006E9" w:rsidRPr="004006E9" w:rsidRDefault="00965865" w:rsidP="004006E9">
      <w:pPr>
        <w:numPr>
          <w:ilvl w:val="1"/>
          <w:numId w:val="1"/>
        </w:numPr>
        <w:ind w:hanging="436"/>
        <w:rPr>
          <w:rFonts w:ascii="Arial" w:hAnsi="Arial" w:cs="Arial"/>
          <w:bCs/>
          <w:sz w:val="22"/>
          <w:szCs w:val="22"/>
        </w:rPr>
      </w:pPr>
      <w:r>
        <w:rPr>
          <w:rFonts w:ascii="Arial" w:hAnsi="Arial" w:cs="Arial"/>
          <w:bCs/>
          <w:sz w:val="22"/>
          <w:szCs w:val="22"/>
        </w:rPr>
        <w:t xml:space="preserve">There are </w:t>
      </w:r>
      <w:r w:rsidR="00CC6379">
        <w:rPr>
          <w:rFonts w:ascii="Arial" w:hAnsi="Arial" w:cs="Arial"/>
          <w:bCs/>
          <w:sz w:val="22"/>
          <w:szCs w:val="22"/>
        </w:rPr>
        <w:t>6</w:t>
      </w:r>
      <w:r>
        <w:rPr>
          <w:rFonts w:ascii="Arial" w:hAnsi="Arial" w:cs="Arial"/>
          <w:bCs/>
          <w:sz w:val="22"/>
          <w:szCs w:val="22"/>
        </w:rPr>
        <w:t xml:space="preserve"> red</w:t>
      </w:r>
      <w:r w:rsidR="004006E9" w:rsidRPr="004006E9">
        <w:rPr>
          <w:rFonts w:ascii="Arial" w:hAnsi="Arial" w:cs="Arial"/>
          <w:bCs/>
          <w:sz w:val="22"/>
          <w:szCs w:val="22"/>
        </w:rPr>
        <w:t xml:space="preserve"> risks</w:t>
      </w:r>
      <w:r>
        <w:rPr>
          <w:rFonts w:ascii="Arial" w:hAnsi="Arial" w:cs="Arial"/>
          <w:bCs/>
          <w:sz w:val="22"/>
          <w:szCs w:val="22"/>
        </w:rPr>
        <w:t xml:space="preserve"> and 11 amber risks</w:t>
      </w:r>
      <w:r w:rsidR="004006E9" w:rsidRPr="004006E9">
        <w:rPr>
          <w:rFonts w:ascii="Arial" w:hAnsi="Arial" w:cs="Arial"/>
          <w:bCs/>
          <w:sz w:val="22"/>
          <w:szCs w:val="22"/>
        </w:rPr>
        <w:t xml:space="preserve"> for this Directorate.</w:t>
      </w:r>
    </w:p>
    <w:p w:rsidR="004006E9" w:rsidRPr="00D97B2E" w:rsidRDefault="004006E9" w:rsidP="004006E9">
      <w:pPr>
        <w:ind w:left="709"/>
        <w:rPr>
          <w:rFonts w:ascii="Arial" w:hAnsi="Arial" w:cs="Arial"/>
          <w:sz w:val="22"/>
          <w:szCs w:val="22"/>
        </w:rPr>
      </w:pPr>
    </w:p>
    <w:p w:rsidR="004006E9" w:rsidRDefault="004006E9" w:rsidP="004006E9">
      <w:pPr>
        <w:numPr>
          <w:ilvl w:val="0"/>
          <w:numId w:val="1"/>
        </w:numPr>
        <w:autoSpaceDE w:val="0"/>
        <w:autoSpaceDN w:val="0"/>
        <w:adjustRightInd w:val="0"/>
        <w:spacing w:after="120"/>
        <w:ind w:left="709" w:hanging="425"/>
        <w:rPr>
          <w:rFonts w:ascii="Arial" w:hAnsi="Arial" w:cs="Arial"/>
          <w:b/>
          <w:bCs/>
          <w:color w:val="000000"/>
          <w:sz w:val="22"/>
          <w:szCs w:val="22"/>
          <w:u w:val="single"/>
        </w:rPr>
      </w:pPr>
      <w:r w:rsidRPr="00D97B2E">
        <w:rPr>
          <w:rFonts w:ascii="Arial" w:hAnsi="Arial" w:cs="Arial"/>
          <w:b/>
          <w:bCs/>
          <w:color w:val="000000"/>
          <w:sz w:val="22"/>
          <w:szCs w:val="22"/>
          <w:u w:val="single"/>
        </w:rPr>
        <w:t>Directorate Financial Performance</w:t>
      </w:r>
    </w:p>
    <w:p w:rsidR="004006E9" w:rsidRPr="0087114D" w:rsidRDefault="004006E9" w:rsidP="004006E9">
      <w:pPr>
        <w:autoSpaceDE w:val="0"/>
        <w:autoSpaceDN w:val="0"/>
        <w:adjustRightInd w:val="0"/>
        <w:spacing w:after="120"/>
        <w:ind w:left="720" w:hanging="436"/>
        <w:rPr>
          <w:rFonts w:ascii="Arial" w:hAnsi="Arial" w:cs="Arial"/>
          <w:bCs/>
          <w:color w:val="000000"/>
          <w:sz w:val="22"/>
          <w:szCs w:val="22"/>
        </w:rPr>
      </w:pPr>
      <w:r w:rsidRPr="0087114D">
        <w:rPr>
          <w:rFonts w:ascii="Arial" w:hAnsi="Arial" w:cs="Arial"/>
          <w:bCs/>
          <w:color w:val="000000"/>
          <w:sz w:val="22"/>
          <w:szCs w:val="22"/>
        </w:rPr>
        <w:t>2.1</w:t>
      </w:r>
      <w:r w:rsidRPr="0087114D">
        <w:rPr>
          <w:rFonts w:ascii="Arial" w:hAnsi="Arial" w:cs="Arial"/>
          <w:bCs/>
          <w:color w:val="000000"/>
          <w:sz w:val="22"/>
          <w:szCs w:val="22"/>
        </w:rPr>
        <w:tab/>
      </w:r>
      <w:r w:rsidR="00965865">
        <w:rPr>
          <w:rFonts w:ascii="Arial" w:hAnsi="Arial" w:cs="Arial"/>
          <w:bCs/>
          <w:color w:val="000000"/>
          <w:sz w:val="22"/>
          <w:szCs w:val="22"/>
        </w:rPr>
        <w:t>The Directorate is currently</w:t>
      </w:r>
      <w:r w:rsidR="00B607AE">
        <w:rPr>
          <w:rFonts w:ascii="Arial" w:hAnsi="Arial" w:cs="Arial"/>
          <w:bCs/>
          <w:color w:val="000000"/>
          <w:sz w:val="22"/>
          <w:szCs w:val="22"/>
        </w:rPr>
        <w:t xml:space="preserve"> estimating a projected outturn of </w:t>
      </w:r>
      <w:proofErr w:type="gramStart"/>
      <w:r w:rsidR="00B607AE">
        <w:rPr>
          <w:rFonts w:ascii="Arial" w:hAnsi="Arial" w:cs="Arial"/>
          <w:bCs/>
          <w:color w:val="000000"/>
          <w:sz w:val="22"/>
          <w:szCs w:val="22"/>
        </w:rPr>
        <w:t>£(</w:t>
      </w:r>
      <w:proofErr w:type="gramEnd"/>
      <w:r w:rsidR="00B607AE">
        <w:rPr>
          <w:rFonts w:ascii="Arial" w:hAnsi="Arial" w:cs="Arial"/>
          <w:bCs/>
          <w:color w:val="000000"/>
          <w:sz w:val="22"/>
          <w:szCs w:val="22"/>
        </w:rPr>
        <w:t>2.723) million against a budget of £(2.978) million which is an adverse variance of £0.255 million.</w:t>
      </w:r>
    </w:p>
    <w:p w:rsidR="004006E9" w:rsidRPr="0087114D" w:rsidRDefault="004006E9" w:rsidP="004006E9">
      <w:pPr>
        <w:ind w:firstLine="720"/>
        <w:rPr>
          <w:rFonts w:ascii="Arial" w:hAnsi="Arial" w:cs="Arial"/>
          <w:b/>
          <w:bCs/>
          <w:sz w:val="22"/>
          <w:szCs w:val="22"/>
        </w:rPr>
      </w:pPr>
      <w:r>
        <w:rPr>
          <w:rFonts w:ascii="Arial" w:hAnsi="Arial" w:cs="Arial"/>
          <w:b/>
          <w:bCs/>
          <w:sz w:val="22"/>
          <w:szCs w:val="22"/>
        </w:rPr>
        <w:t>Partnerships Team</w:t>
      </w:r>
    </w:p>
    <w:p w:rsidR="004006E9" w:rsidRPr="00682101" w:rsidRDefault="004006E9" w:rsidP="004006E9">
      <w:pPr>
        <w:ind w:left="709" w:hanging="425"/>
        <w:rPr>
          <w:rFonts w:ascii="Arial" w:hAnsi="Arial" w:cs="Arial"/>
          <w:bCs/>
          <w:sz w:val="22"/>
          <w:szCs w:val="22"/>
          <w:highlight w:val="yellow"/>
        </w:rPr>
      </w:pPr>
      <w:r w:rsidRPr="0087114D">
        <w:rPr>
          <w:rFonts w:ascii="Arial" w:hAnsi="Arial" w:cs="Arial"/>
          <w:bCs/>
          <w:sz w:val="22"/>
          <w:szCs w:val="22"/>
        </w:rPr>
        <w:t>2.2</w:t>
      </w:r>
      <w:r w:rsidRPr="0087114D">
        <w:rPr>
          <w:rFonts w:ascii="Arial" w:hAnsi="Arial" w:cs="Arial"/>
          <w:bCs/>
          <w:sz w:val="22"/>
          <w:szCs w:val="22"/>
        </w:rPr>
        <w:tab/>
      </w:r>
      <w:r w:rsidR="00B607AE">
        <w:rPr>
          <w:rFonts w:ascii="Arial" w:hAnsi="Arial" w:cs="Arial"/>
          <w:bCs/>
          <w:sz w:val="22"/>
          <w:szCs w:val="22"/>
        </w:rPr>
        <w:t>The Partnerships Team is projecting no variance to budget at this stage.</w:t>
      </w:r>
    </w:p>
    <w:p w:rsidR="004006E9" w:rsidRPr="00682101" w:rsidRDefault="004006E9" w:rsidP="004006E9">
      <w:pPr>
        <w:ind w:left="709" w:firstLine="11"/>
        <w:rPr>
          <w:rFonts w:ascii="Arial" w:hAnsi="Arial" w:cs="Arial"/>
          <w:bCs/>
          <w:sz w:val="22"/>
          <w:szCs w:val="22"/>
          <w:highlight w:val="yellow"/>
        </w:rPr>
      </w:pPr>
    </w:p>
    <w:p w:rsidR="004006E9" w:rsidRPr="00405817" w:rsidRDefault="004006E9" w:rsidP="004006E9">
      <w:pPr>
        <w:ind w:firstLine="709"/>
        <w:rPr>
          <w:rFonts w:ascii="Arial" w:hAnsi="Arial" w:cs="Arial"/>
          <w:b/>
          <w:bCs/>
          <w:sz w:val="22"/>
          <w:szCs w:val="22"/>
        </w:rPr>
      </w:pPr>
      <w:r>
        <w:rPr>
          <w:rFonts w:ascii="Arial" w:hAnsi="Arial" w:cs="Arial"/>
          <w:b/>
          <w:bCs/>
          <w:sz w:val="22"/>
          <w:szCs w:val="22"/>
        </w:rPr>
        <w:t>Planning and Regulatory</w:t>
      </w:r>
    </w:p>
    <w:p w:rsidR="004006E9" w:rsidRPr="00B607AE" w:rsidRDefault="004006E9" w:rsidP="004006E9">
      <w:pPr>
        <w:ind w:left="709" w:hanging="425"/>
        <w:rPr>
          <w:rFonts w:ascii="Arial" w:hAnsi="Arial" w:cs="Arial"/>
          <w:bCs/>
          <w:color w:val="000000"/>
          <w:sz w:val="22"/>
          <w:szCs w:val="22"/>
        </w:rPr>
      </w:pPr>
      <w:r w:rsidRPr="00405817">
        <w:rPr>
          <w:rFonts w:ascii="Arial" w:hAnsi="Arial" w:cs="Arial"/>
          <w:bCs/>
          <w:sz w:val="22"/>
          <w:szCs w:val="22"/>
        </w:rPr>
        <w:t>2.3</w:t>
      </w:r>
      <w:r w:rsidRPr="00405817">
        <w:rPr>
          <w:rFonts w:ascii="Arial" w:hAnsi="Arial" w:cs="Arial"/>
          <w:bCs/>
          <w:sz w:val="22"/>
          <w:szCs w:val="22"/>
        </w:rPr>
        <w:tab/>
      </w:r>
      <w:r w:rsidR="00B607AE" w:rsidRPr="00B607AE">
        <w:rPr>
          <w:rFonts w:ascii="Arial" w:hAnsi="Arial" w:cs="Arial"/>
          <w:bCs/>
          <w:color w:val="000000"/>
          <w:sz w:val="22"/>
          <w:szCs w:val="22"/>
        </w:rPr>
        <w:t xml:space="preserve">Income generation across Building control, HMO Licencing, Planning Policy, Food Hygiene course, Planning Fees, Enforcement of housing act and street trading licences are all under achieving and therefore an adverse variance of £0.149 million </w:t>
      </w:r>
      <w:r w:rsidR="00F32D99">
        <w:rPr>
          <w:rFonts w:ascii="Arial" w:hAnsi="Arial" w:cs="Arial"/>
          <w:bCs/>
          <w:color w:val="000000"/>
          <w:sz w:val="22"/>
          <w:szCs w:val="22"/>
        </w:rPr>
        <w:t xml:space="preserve">against an income budget of £3.017 million </w:t>
      </w:r>
      <w:bookmarkStart w:id="0" w:name="_GoBack"/>
      <w:bookmarkEnd w:id="0"/>
      <w:r w:rsidR="00B607AE" w:rsidRPr="00B607AE">
        <w:rPr>
          <w:rFonts w:ascii="Arial" w:hAnsi="Arial" w:cs="Arial"/>
          <w:bCs/>
          <w:color w:val="000000"/>
          <w:sz w:val="22"/>
          <w:szCs w:val="22"/>
        </w:rPr>
        <w:t>is being forecast in this area.</w:t>
      </w:r>
    </w:p>
    <w:p w:rsidR="004006E9" w:rsidRPr="00405817" w:rsidRDefault="004006E9" w:rsidP="004006E9">
      <w:pPr>
        <w:ind w:left="709" w:hanging="425"/>
        <w:rPr>
          <w:rFonts w:ascii="Arial" w:hAnsi="Arial" w:cs="Arial"/>
          <w:bCs/>
          <w:sz w:val="22"/>
          <w:szCs w:val="22"/>
        </w:rPr>
      </w:pPr>
    </w:p>
    <w:p w:rsidR="004006E9" w:rsidRPr="00451F68" w:rsidRDefault="004006E9" w:rsidP="004006E9">
      <w:pPr>
        <w:ind w:firstLine="709"/>
        <w:rPr>
          <w:rFonts w:ascii="Arial" w:hAnsi="Arial" w:cs="Arial"/>
          <w:b/>
          <w:bCs/>
          <w:sz w:val="22"/>
          <w:szCs w:val="22"/>
        </w:rPr>
      </w:pPr>
      <w:r w:rsidRPr="00405817">
        <w:rPr>
          <w:rFonts w:ascii="Arial" w:hAnsi="Arial" w:cs="Arial"/>
          <w:b/>
          <w:bCs/>
          <w:sz w:val="22"/>
          <w:szCs w:val="22"/>
        </w:rPr>
        <w:t>Housing and Property</w:t>
      </w:r>
    </w:p>
    <w:p w:rsidR="004006E9" w:rsidRPr="00B607AE" w:rsidRDefault="004006E9" w:rsidP="004006E9">
      <w:pPr>
        <w:ind w:left="709" w:hanging="425"/>
        <w:rPr>
          <w:rFonts w:ascii="Arial" w:hAnsi="Arial" w:cs="Arial"/>
          <w:bCs/>
          <w:color w:val="000000"/>
          <w:sz w:val="22"/>
          <w:szCs w:val="22"/>
        </w:rPr>
      </w:pPr>
      <w:r w:rsidRPr="00451F68">
        <w:rPr>
          <w:rFonts w:ascii="Arial" w:hAnsi="Arial" w:cs="Arial"/>
          <w:sz w:val="22"/>
          <w:szCs w:val="22"/>
        </w:rPr>
        <w:t>2.4</w:t>
      </w:r>
      <w:r w:rsidRPr="00451F68">
        <w:rPr>
          <w:rFonts w:ascii="Arial" w:hAnsi="Arial" w:cs="Arial"/>
          <w:sz w:val="22"/>
          <w:szCs w:val="22"/>
        </w:rPr>
        <w:tab/>
      </w:r>
      <w:r w:rsidR="00B607AE" w:rsidRPr="00B607AE">
        <w:rPr>
          <w:rFonts w:ascii="Arial" w:hAnsi="Arial" w:cs="Arial"/>
          <w:bCs/>
          <w:color w:val="000000"/>
          <w:sz w:val="22"/>
          <w:szCs w:val="22"/>
        </w:rPr>
        <w:t>An overspend of £0.</w:t>
      </w:r>
      <w:r w:rsidR="002B0265" w:rsidRPr="00B607AE" w:rsidDel="002B0265">
        <w:rPr>
          <w:rFonts w:ascii="Arial" w:hAnsi="Arial" w:cs="Arial"/>
          <w:bCs/>
          <w:color w:val="000000"/>
          <w:sz w:val="22"/>
          <w:szCs w:val="22"/>
        </w:rPr>
        <w:t xml:space="preserve"> </w:t>
      </w:r>
      <w:r w:rsidR="002B0265">
        <w:rPr>
          <w:rFonts w:ascii="Arial" w:hAnsi="Arial" w:cs="Arial"/>
          <w:bCs/>
          <w:color w:val="000000"/>
          <w:sz w:val="22"/>
          <w:szCs w:val="22"/>
        </w:rPr>
        <w:t>106</w:t>
      </w:r>
      <w:r w:rsidR="00B607AE" w:rsidRPr="00B607AE">
        <w:rPr>
          <w:rFonts w:ascii="Arial" w:hAnsi="Arial" w:cs="Arial"/>
          <w:bCs/>
          <w:color w:val="000000"/>
          <w:sz w:val="22"/>
          <w:szCs w:val="22"/>
        </w:rPr>
        <w:t xml:space="preserve"> million is forecast on the Home Choice payment scheme due to additional use of the scheme, overspends are also forecast on additional repairs to Community Centres and unbudgeted caretaking costs at Bury </w:t>
      </w:r>
      <w:proofErr w:type="spellStart"/>
      <w:r w:rsidR="00B607AE" w:rsidRPr="00B607AE">
        <w:rPr>
          <w:rFonts w:ascii="Arial" w:hAnsi="Arial" w:cs="Arial"/>
          <w:bCs/>
          <w:color w:val="000000"/>
          <w:sz w:val="22"/>
          <w:szCs w:val="22"/>
        </w:rPr>
        <w:t>Knowle</w:t>
      </w:r>
      <w:proofErr w:type="spellEnd"/>
      <w:r w:rsidR="00B607AE" w:rsidRPr="00B607AE">
        <w:rPr>
          <w:rFonts w:ascii="Arial" w:hAnsi="Arial" w:cs="Arial"/>
          <w:bCs/>
          <w:color w:val="000000"/>
          <w:sz w:val="22"/>
          <w:szCs w:val="22"/>
        </w:rPr>
        <w:t xml:space="preserve"> House and Barton Centre.</w:t>
      </w:r>
    </w:p>
    <w:p w:rsidR="004006E9" w:rsidRDefault="004006E9" w:rsidP="004006E9">
      <w:pPr>
        <w:ind w:left="709" w:hanging="425"/>
        <w:rPr>
          <w:rFonts w:ascii="Arial" w:hAnsi="Arial" w:cs="Arial"/>
          <w:sz w:val="22"/>
          <w:szCs w:val="22"/>
        </w:rPr>
      </w:pPr>
    </w:p>
    <w:p w:rsidR="004006E9" w:rsidRPr="00855726" w:rsidRDefault="004006E9" w:rsidP="004006E9">
      <w:pPr>
        <w:ind w:firstLine="709"/>
        <w:rPr>
          <w:rFonts w:ascii="Arial" w:hAnsi="Arial" w:cs="Arial"/>
          <w:b/>
          <w:bCs/>
          <w:sz w:val="22"/>
          <w:szCs w:val="22"/>
        </w:rPr>
      </w:pPr>
      <w:r w:rsidRPr="00855726">
        <w:rPr>
          <w:rFonts w:ascii="Arial" w:hAnsi="Arial" w:cs="Arial"/>
          <w:b/>
          <w:bCs/>
          <w:sz w:val="22"/>
          <w:szCs w:val="22"/>
        </w:rPr>
        <w:t>Housing Revenue Account</w:t>
      </w:r>
    </w:p>
    <w:p w:rsidR="004006E9" w:rsidRDefault="004006E9" w:rsidP="004006E9">
      <w:pPr>
        <w:ind w:left="709" w:hanging="425"/>
        <w:rPr>
          <w:rFonts w:ascii="Arial" w:hAnsi="Arial" w:cs="Arial"/>
          <w:sz w:val="22"/>
          <w:szCs w:val="22"/>
        </w:rPr>
      </w:pPr>
      <w:r w:rsidRPr="00855726">
        <w:rPr>
          <w:rFonts w:ascii="Arial" w:hAnsi="Arial" w:cs="Arial"/>
          <w:sz w:val="22"/>
          <w:szCs w:val="22"/>
        </w:rPr>
        <w:t>2.5</w:t>
      </w:r>
      <w:r w:rsidRPr="00855726">
        <w:rPr>
          <w:rFonts w:ascii="Arial" w:hAnsi="Arial" w:cs="Arial"/>
          <w:sz w:val="22"/>
          <w:szCs w:val="22"/>
        </w:rPr>
        <w:tab/>
      </w:r>
      <w:r w:rsidR="00B607AE">
        <w:rPr>
          <w:rFonts w:ascii="Arial" w:hAnsi="Arial" w:cs="Arial"/>
          <w:sz w:val="22"/>
          <w:szCs w:val="22"/>
        </w:rPr>
        <w:t>The summarised HRA position as at 31</w:t>
      </w:r>
      <w:r w:rsidR="00B607AE" w:rsidRPr="00B607AE">
        <w:rPr>
          <w:rFonts w:ascii="Arial" w:hAnsi="Arial" w:cs="Arial"/>
          <w:sz w:val="22"/>
          <w:szCs w:val="22"/>
          <w:vertAlign w:val="superscript"/>
        </w:rPr>
        <w:t>st</w:t>
      </w:r>
      <w:r w:rsidR="00B607AE">
        <w:rPr>
          <w:rFonts w:ascii="Arial" w:hAnsi="Arial" w:cs="Arial"/>
          <w:sz w:val="22"/>
          <w:szCs w:val="22"/>
        </w:rPr>
        <w:t xml:space="preserve"> December is show in Appe</w:t>
      </w:r>
      <w:r w:rsidR="002B0265">
        <w:rPr>
          <w:rFonts w:ascii="Arial" w:hAnsi="Arial" w:cs="Arial"/>
          <w:sz w:val="22"/>
          <w:szCs w:val="22"/>
        </w:rPr>
        <w:t>n</w:t>
      </w:r>
      <w:r w:rsidR="00B607AE">
        <w:rPr>
          <w:rFonts w:ascii="Arial" w:hAnsi="Arial" w:cs="Arial"/>
          <w:sz w:val="22"/>
          <w:szCs w:val="22"/>
        </w:rPr>
        <w:t>dix F3.  The HRA is forecasting an adverse variance of £0.273 million</w:t>
      </w:r>
    </w:p>
    <w:p w:rsidR="00B607AE" w:rsidRDefault="00B607AE" w:rsidP="004006E9">
      <w:pPr>
        <w:ind w:left="709" w:hanging="425"/>
        <w:rPr>
          <w:rFonts w:ascii="Arial" w:hAnsi="Arial" w:cs="Arial"/>
          <w:sz w:val="22"/>
          <w:szCs w:val="22"/>
        </w:rPr>
      </w:pPr>
    </w:p>
    <w:p w:rsidR="00B607AE" w:rsidRDefault="00B607AE" w:rsidP="00B607AE">
      <w:pPr>
        <w:ind w:left="709"/>
        <w:rPr>
          <w:rFonts w:ascii="Arial" w:hAnsi="Arial" w:cs="Arial"/>
          <w:sz w:val="22"/>
          <w:szCs w:val="22"/>
          <w:u w:val="single"/>
        </w:rPr>
      </w:pPr>
      <w:r>
        <w:rPr>
          <w:rFonts w:ascii="Arial" w:hAnsi="Arial" w:cs="Arial"/>
          <w:sz w:val="22"/>
          <w:szCs w:val="22"/>
          <w:u w:val="single"/>
        </w:rPr>
        <w:t>Income</w:t>
      </w:r>
    </w:p>
    <w:p w:rsidR="00B607AE" w:rsidRDefault="00B607AE" w:rsidP="00B607AE">
      <w:pPr>
        <w:ind w:left="709" w:hanging="425"/>
        <w:rPr>
          <w:rFonts w:ascii="Arial" w:hAnsi="Arial" w:cs="Arial"/>
          <w:sz w:val="22"/>
          <w:szCs w:val="22"/>
        </w:rPr>
      </w:pPr>
      <w:r>
        <w:rPr>
          <w:rFonts w:ascii="Arial" w:hAnsi="Arial" w:cs="Arial"/>
          <w:sz w:val="22"/>
          <w:szCs w:val="22"/>
        </w:rPr>
        <w:t>2.6</w:t>
      </w:r>
      <w:r>
        <w:rPr>
          <w:rFonts w:ascii="Arial" w:hAnsi="Arial" w:cs="Arial"/>
          <w:sz w:val="22"/>
          <w:szCs w:val="22"/>
        </w:rPr>
        <w:tab/>
      </w:r>
      <w:r w:rsidRPr="00B607AE">
        <w:rPr>
          <w:rFonts w:ascii="Arial" w:hAnsi="Arial" w:cs="Arial"/>
          <w:sz w:val="22"/>
          <w:szCs w:val="22"/>
        </w:rPr>
        <w:t>Dwelling rents continues to show a favourable variance due to a number of factors including: less RTB sales than expected; more properties being used for temporary accommodation and therefore generating higher levels of income; void properties moving into formulae rent and the completion of the affordable homes programme.</w:t>
      </w:r>
    </w:p>
    <w:p w:rsidR="00B607AE" w:rsidRDefault="00B607AE" w:rsidP="00B607AE">
      <w:pPr>
        <w:ind w:left="709" w:hanging="425"/>
        <w:rPr>
          <w:rFonts w:ascii="Arial" w:hAnsi="Arial" w:cs="Arial"/>
          <w:sz w:val="22"/>
          <w:szCs w:val="22"/>
        </w:rPr>
      </w:pPr>
    </w:p>
    <w:p w:rsidR="00B607AE" w:rsidRDefault="00B607AE" w:rsidP="00B607AE">
      <w:pPr>
        <w:ind w:left="709"/>
        <w:rPr>
          <w:rFonts w:ascii="Arial" w:hAnsi="Arial" w:cs="Arial"/>
          <w:sz w:val="22"/>
          <w:szCs w:val="22"/>
          <w:u w:val="single"/>
        </w:rPr>
      </w:pPr>
      <w:r>
        <w:rPr>
          <w:rFonts w:ascii="Arial" w:hAnsi="Arial" w:cs="Arial"/>
          <w:sz w:val="22"/>
          <w:szCs w:val="22"/>
          <w:u w:val="single"/>
        </w:rPr>
        <w:t>Expenditure</w:t>
      </w:r>
    </w:p>
    <w:p w:rsidR="00B607AE" w:rsidRPr="00B607AE" w:rsidRDefault="00B607AE" w:rsidP="00B607AE">
      <w:pPr>
        <w:ind w:left="709" w:hanging="425"/>
        <w:rPr>
          <w:rFonts w:ascii="Arial" w:hAnsi="Arial" w:cs="Arial"/>
          <w:sz w:val="22"/>
          <w:szCs w:val="22"/>
        </w:rPr>
      </w:pPr>
      <w:r>
        <w:rPr>
          <w:rFonts w:ascii="Arial" w:hAnsi="Arial" w:cs="Arial"/>
          <w:sz w:val="22"/>
          <w:szCs w:val="22"/>
        </w:rPr>
        <w:t>2.7</w:t>
      </w:r>
      <w:r>
        <w:rPr>
          <w:rFonts w:ascii="Arial" w:hAnsi="Arial" w:cs="Arial"/>
          <w:sz w:val="22"/>
          <w:szCs w:val="22"/>
        </w:rPr>
        <w:tab/>
      </w:r>
      <w:r w:rsidR="00A06D2A">
        <w:rPr>
          <w:rFonts w:ascii="Arial" w:hAnsi="Arial" w:cs="Arial"/>
          <w:sz w:val="22"/>
          <w:szCs w:val="22"/>
        </w:rPr>
        <w:t>The purchase of goods associated with the Furnished Tenancy Scheme  are overspending year to date, as are the revenue costs associated with new builds due to disturbance payments being made</w:t>
      </w:r>
      <w:r w:rsidRPr="00B607AE">
        <w:rPr>
          <w:rFonts w:ascii="Arial" w:hAnsi="Arial" w:cs="Arial"/>
          <w:sz w:val="22"/>
          <w:szCs w:val="22"/>
        </w:rPr>
        <w:t>.</w:t>
      </w:r>
      <w:r w:rsidR="00A06D2A">
        <w:rPr>
          <w:rFonts w:ascii="Arial" w:hAnsi="Arial" w:cs="Arial"/>
          <w:sz w:val="22"/>
          <w:szCs w:val="22"/>
        </w:rPr>
        <w:t xml:space="preserve">  Other areas of budgetary pressure include external ground works, electrical upgrades and warden control activities.</w:t>
      </w:r>
    </w:p>
    <w:p w:rsidR="004006E9" w:rsidRPr="00634079" w:rsidRDefault="004006E9" w:rsidP="00B607AE">
      <w:pPr>
        <w:rPr>
          <w:rFonts w:ascii="Arial" w:hAnsi="Arial" w:cs="Arial"/>
          <w:sz w:val="22"/>
          <w:szCs w:val="22"/>
        </w:rPr>
      </w:pPr>
    </w:p>
    <w:p w:rsidR="004006E9" w:rsidRPr="003C28D0" w:rsidRDefault="004006E9" w:rsidP="004006E9">
      <w:pPr>
        <w:autoSpaceDE w:val="0"/>
        <w:autoSpaceDN w:val="0"/>
        <w:adjustRightInd w:val="0"/>
        <w:spacing w:after="120"/>
        <w:ind w:left="709" w:hanging="425"/>
        <w:rPr>
          <w:rFonts w:ascii="Arial" w:hAnsi="Arial" w:cs="Arial"/>
          <w:b/>
          <w:bCs/>
          <w:color w:val="000000"/>
          <w:sz w:val="22"/>
          <w:szCs w:val="22"/>
          <w:u w:val="single"/>
        </w:rPr>
      </w:pPr>
      <w:r w:rsidRPr="003C28D0">
        <w:rPr>
          <w:rFonts w:ascii="Arial" w:hAnsi="Arial" w:cs="Arial"/>
          <w:b/>
          <w:bCs/>
          <w:color w:val="000000"/>
          <w:sz w:val="22"/>
          <w:szCs w:val="22"/>
        </w:rPr>
        <w:t>3.</w:t>
      </w:r>
      <w:r w:rsidRPr="003C28D0">
        <w:rPr>
          <w:rFonts w:ascii="Arial" w:hAnsi="Arial" w:cs="Arial"/>
          <w:b/>
          <w:bCs/>
          <w:color w:val="000000"/>
          <w:sz w:val="22"/>
          <w:szCs w:val="22"/>
        </w:rPr>
        <w:tab/>
      </w:r>
      <w:r w:rsidRPr="003C28D0">
        <w:rPr>
          <w:rFonts w:ascii="Arial" w:hAnsi="Arial" w:cs="Arial"/>
          <w:b/>
          <w:bCs/>
          <w:color w:val="000000"/>
          <w:sz w:val="22"/>
          <w:szCs w:val="22"/>
          <w:u w:val="single"/>
        </w:rPr>
        <w:t>Directorate Performance – Exceptions</w:t>
      </w:r>
    </w:p>
    <w:p w:rsidR="004006E9" w:rsidRDefault="004006E9" w:rsidP="004006E9">
      <w:pPr>
        <w:ind w:left="720"/>
        <w:rPr>
          <w:rFonts w:ascii="Arial" w:hAnsi="Arial" w:cs="Arial"/>
          <w:bCs/>
          <w:sz w:val="22"/>
          <w:szCs w:val="22"/>
          <w:highlight w:val="yellow"/>
        </w:rPr>
      </w:pPr>
    </w:p>
    <w:p w:rsidR="004006E9" w:rsidRDefault="004006E9" w:rsidP="004006E9">
      <w:pPr>
        <w:ind w:firstLine="709"/>
        <w:rPr>
          <w:rFonts w:ascii="Arial" w:hAnsi="Arial" w:cs="Arial"/>
          <w:b/>
          <w:bCs/>
          <w:sz w:val="22"/>
          <w:szCs w:val="22"/>
        </w:rPr>
      </w:pPr>
      <w:r>
        <w:rPr>
          <w:rFonts w:ascii="Arial" w:hAnsi="Arial" w:cs="Arial"/>
          <w:b/>
          <w:bCs/>
          <w:sz w:val="22"/>
          <w:szCs w:val="22"/>
        </w:rPr>
        <w:t>Planning and Regulatory</w:t>
      </w:r>
    </w:p>
    <w:p w:rsidR="004006E9" w:rsidRPr="00405817" w:rsidRDefault="004006E9" w:rsidP="004006E9">
      <w:pPr>
        <w:ind w:firstLine="709"/>
        <w:rPr>
          <w:rFonts w:ascii="Arial" w:hAnsi="Arial" w:cs="Arial"/>
          <w:b/>
          <w:bCs/>
          <w:sz w:val="22"/>
          <w:szCs w:val="22"/>
        </w:rPr>
      </w:pPr>
    </w:p>
    <w:p w:rsidR="004006E9" w:rsidRDefault="004006E9" w:rsidP="004006E9">
      <w:pPr>
        <w:tabs>
          <w:tab w:val="left" w:pos="426"/>
        </w:tabs>
        <w:ind w:left="709" w:hanging="425"/>
        <w:rPr>
          <w:rFonts w:ascii="Arial" w:hAnsi="Arial" w:cs="Arial"/>
          <w:bCs/>
          <w:sz w:val="22"/>
          <w:szCs w:val="22"/>
        </w:rPr>
      </w:pPr>
      <w:r>
        <w:rPr>
          <w:rFonts w:ascii="Arial" w:hAnsi="Arial" w:cs="Arial"/>
          <w:bCs/>
          <w:sz w:val="22"/>
          <w:szCs w:val="22"/>
        </w:rPr>
        <w:lastRenderedPageBreak/>
        <w:t>3.1</w:t>
      </w:r>
      <w:r>
        <w:rPr>
          <w:rFonts w:ascii="Arial" w:hAnsi="Arial" w:cs="Arial"/>
          <w:bCs/>
          <w:sz w:val="22"/>
          <w:szCs w:val="22"/>
        </w:rPr>
        <w:tab/>
        <w:t>Processing of minor planning applications – year to date performance was 6</w:t>
      </w:r>
      <w:r w:rsidR="00694C04">
        <w:rPr>
          <w:rFonts w:ascii="Arial" w:hAnsi="Arial" w:cs="Arial"/>
          <w:bCs/>
          <w:sz w:val="22"/>
          <w:szCs w:val="22"/>
        </w:rPr>
        <w:t>4</w:t>
      </w:r>
      <w:r>
        <w:rPr>
          <w:rFonts w:ascii="Arial" w:hAnsi="Arial" w:cs="Arial"/>
          <w:bCs/>
          <w:sz w:val="22"/>
          <w:szCs w:val="22"/>
        </w:rPr>
        <w:t>% compared to a target of 70%, which has been due to a backlog of applications earlier in the year. A ‘</w:t>
      </w:r>
      <w:r w:rsidRPr="004006E9">
        <w:rPr>
          <w:rFonts w:ascii="Arial" w:hAnsi="Arial" w:cs="Arial"/>
          <w:bCs/>
          <w:sz w:val="22"/>
          <w:szCs w:val="22"/>
        </w:rPr>
        <w:t>blitz</w:t>
      </w:r>
      <w:r>
        <w:rPr>
          <w:rFonts w:ascii="Arial" w:hAnsi="Arial" w:cs="Arial"/>
          <w:bCs/>
          <w:sz w:val="22"/>
          <w:szCs w:val="22"/>
        </w:rPr>
        <w:t>’</w:t>
      </w:r>
      <w:r w:rsidRPr="004006E9">
        <w:rPr>
          <w:rFonts w:ascii="Arial" w:hAnsi="Arial" w:cs="Arial"/>
          <w:bCs/>
          <w:sz w:val="22"/>
          <w:szCs w:val="22"/>
        </w:rPr>
        <w:t xml:space="preserve"> initiative </w:t>
      </w:r>
      <w:r>
        <w:rPr>
          <w:rFonts w:ascii="Arial" w:hAnsi="Arial" w:cs="Arial"/>
          <w:bCs/>
          <w:sz w:val="22"/>
          <w:szCs w:val="22"/>
        </w:rPr>
        <w:t xml:space="preserve">has been undertaken to address this </w:t>
      </w:r>
      <w:r w:rsidRPr="004006E9">
        <w:rPr>
          <w:rFonts w:ascii="Arial" w:hAnsi="Arial" w:cs="Arial"/>
          <w:bCs/>
          <w:sz w:val="22"/>
          <w:szCs w:val="22"/>
        </w:rPr>
        <w:t xml:space="preserve">and performance </w:t>
      </w:r>
      <w:r>
        <w:rPr>
          <w:rFonts w:ascii="Arial" w:hAnsi="Arial" w:cs="Arial"/>
          <w:bCs/>
          <w:sz w:val="22"/>
          <w:szCs w:val="22"/>
        </w:rPr>
        <w:t xml:space="preserve">has started </w:t>
      </w:r>
      <w:r w:rsidRPr="004006E9">
        <w:rPr>
          <w:rFonts w:ascii="Arial" w:hAnsi="Arial" w:cs="Arial"/>
          <w:bCs/>
          <w:sz w:val="22"/>
          <w:szCs w:val="22"/>
        </w:rPr>
        <w:t xml:space="preserve">increasing towards target levels. </w:t>
      </w:r>
      <w:r>
        <w:rPr>
          <w:rFonts w:ascii="Arial" w:hAnsi="Arial" w:cs="Arial"/>
          <w:bCs/>
          <w:sz w:val="22"/>
          <w:szCs w:val="22"/>
        </w:rPr>
        <w:t>P</w:t>
      </w:r>
      <w:r w:rsidRPr="004006E9">
        <w:rPr>
          <w:rFonts w:ascii="Arial" w:hAnsi="Arial" w:cs="Arial"/>
          <w:bCs/>
          <w:sz w:val="22"/>
          <w:szCs w:val="22"/>
        </w:rPr>
        <w:t xml:space="preserve">erformance for </w:t>
      </w:r>
      <w:r>
        <w:rPr>
          <w:rFonts w:ascii="Arial" w:hAnsi="Arial" w:cs="Arial"/>
          <w:bCs/>
          <w:sz w:val="22"/>
          <w:szCs w:val="22"/>
        </w:rPr>
        <w:t xml:space="preserve">the month of </w:t>
      </w:r>
      <w:r w:rsidR="00694C04">
        <w:rPr>
          <w:rFonts w:ascii="Arial" w:hAnsi="Arial" w:cs="Arial"/>
          <w:bCs/>
          <w:sz w:val="22"/>
          <w:szCs w:val="22"/>
        </w:rPr>
        <w:t>December was 77</w:t>
      </w:r>
      <w:r w:rsidRPr="004006E9">
        <w:rPr>
          <w:rFonts w:ascii="Arial" w:hAnsi="Arial" w:cs="Arial"/>
          <w:bCs/>
          <w:sz w:val="22"/>
          <w:szCs w:val="22"/>
        </w:rPr>
        <w:t>%</w:t>
      </w:r>
      <w:r w:rsidR="00B210FB">
        <w:rPr>
          <w:rFonts w:ascii="Arial" w:hAnsi="Arial" w:cs="Arial"/>
          <w:bCs/>
          <w:sz w:val="22"/>
          <w:szCs w:val="22"/>
        </w:rPr>
        <w:t xml:space="preserve">. </w:t>
      </w:r>
    </w:p>
    <w:p w:rsidR="004006E9" w:rsidRDefault="004006E9" w:rsidP="004006E9">
      <w:pPr>
        <w:tabs>
          <w:tab w:val="left" w:pos="426"/>
        </w:tabs>
        <w:ind w:left="709" w:hanging="425"/>
        <w:rPr>
          <w:rFonts w:ascii="Arial" w:hAnsi="Arial" w:cs="Arial"/>
          <w:bCs/>
          <w:sz w:val="22"/>
          <w:szCs w:val="22"/>
        </w:rPr>
      </w:pPr>
    </w:p>
    <w:p w:rsidR="004006E9" w:rsidRDefault="004006E9" w:rsidP="004006E9">
      <w:pPr>
        <w:tabs>
          <w:tab w:val="left" w:pos="426"/>
        </w:tabs>
        <w:ind w:left="709" w:hanging="425"/>
        <w:rPr>
          <w:rFonts w:ascii="Arial" w:hAnsi="Arial" w:cs="Arial"/>
          <w:bCs/>
          <w:sz w:val="22"/>
          <w:szCs w:val="22"/>
        </w:rPr>
      </w:pPr>
      <w:r>
        <w:rPr>
          <w:rFonts w:ascii="Arial" w:hAnsi="Arial" w:cs="Arial"/>
          <w:bCs/>
          <w:sz w:val="22"/>
          <w:szCs w:val="22"/>
        </w:rPr>
        <w:t>3.2</w:t>
      </w:r>
      <w:r>
        <w:rPr>
          <w:rFonts w:ascii="Arial" w:hAnsi="Arial" w:cs="Arial"/>
          <w:bCs/>
          <w:sz w:val="22"/>
          <w:szCs w:val="22"/>
        </w:rPr>
        <w:tab/>
        <w:t xml:space="preserve">Processing of other planning applications – </w:t>
      </w:r>
      <w:r w:rsidR="00B210FB" w:rsidRPr="00B210FB">
        <w:rPr>
          <w:rFonts w:ascii="Arial" w:hAnsi="Arial" w:cs="Arial"/>
          <w:bCs/>
          <w:sz w:val="22"/>
          <w:szCs w:val="22"/>
        </w:rPr>
        <w:t xml:space="preserve">year to date performance was </w:t>
      </w:r>
      <w:r w:rsidR="00694C04">
        <w:rPr>
          <w:rFonts w:ascii="Arial" w:hAnsi="Arial" w:cs="Arial"/>
          <w:bCs/>
          <w:sz w:val="22"/>
          <w:szCs w:val="22"/>
        </w:rPr>
        <w:t>77</w:t>
      </w:r>
      <w:r w:rsidR="00B210FB" w:rsidRPr="00B210FB">
        <w:rPr>
          <w:rFonts w:ascii="Arial" w:hAnsi="Arial" w:cs="Arial"/>
          <w:bCs/>
          <w:sz w:val="22"/>
          <w:szCs w:val="22"/>
        </w:rPr>
        <w:t xml:space="preserve">% compared to a target of </w:t>
      </w:r>
      <w:r w:rsidR="00B210FB">
        <w:rPr>
          <w:rFonts w:ascii="Arial" w:hAnsi="Arial" w:cs="Arial"/>
          <w:bCs/>
          <w:sz w:val="22"/>
          <w:szCs w:val="22"/>
        </w:rPr>
        <w:t>82</w:t>
      </w:r>
      <w:r w:rsidR="00B210FB" w:rsidRPr="00B210FB">
        <w:rPr>
          <w:rFonts w:ascii="Arial" w:hAnsi="Arial" w:cs="Arial"/>
          <w:bCs/>
          <w:sz w:val="22"/>
          <w:szCs w:val="22"/>
        </w:rPr>
        <w:t>%, which has been due t</w:t>
      </w:r>
      <w:r w:rsidR="00B210FB">
        <w:rPr>
          <w:rFonts w:ascii="Arial" w:hAnsi="Arial" w:cs="Arial"/>
          <w:bCs/>
          <w:sz w:val="22"/>
          <w:szCs w:val="22"/>
        </w:rPr>
        <w:t>o a backlog of applications ear</w:t>
      </w:r>
      <w:r w:rsidR="00B210FB" w:rsidRPr="00B210FB">
        <w:rPr>
          <w:rFonts w:ascii="Arial" w:hAnsi="Arial" w:cs="Arial"/>
          <w:bCs/>
          <w:sz w:val="22"/>
          <w:szCs w:val="22"/>
        </w:rPr>
        <w:t xml:space="preserve">lier in the year. A ‘blitz’ initiative has been undertaken to address this and performance has started increasing towards target levels. Performance for the month of </w:t>
      </w:r>
      <w:r w:rsidR="00694C04">
        <w:rPr>
          <w:rFonts w:ascii="Arial" w:hAnsi="Arial" w:cs="Arial"/>
          <w:bCs/>
          <w:sz w:val="22"/>
          <w:szCs w:val="22"/>
        </w:rPr>
        <w:t>December</w:t>
      </w:r>
      <w:r w:rsidR="00B210FB" w:rsidRPr="00B210FB">
        <w:rPr>
          <w:rFonts w:ascii="Arial" w:hAnsi="Arial" w:cs="Arial"/>
          <w:bCs/>
          <w:sz w:val="22"/>
          <w:szCs w:val="22"/>
        </w:rPr>
        <w:t xml:space="preserve"> was </w:t>
      </w:r>
      <w:r w:rsidR="00694C04">
        <w:rPr>
          <w:rFonts w:ascii="Arial" w:hAnsi="Arial" w:cs="Arial"/>
          <w:bCs/>
          <w:sz w:val="22"/>
          <w:szCs w:val="22"/>
        </w:rPr>
        <w:t>82</w:t>
      </w:r>
      <w:r w:rsidR="00B210FB" w:rsidRPr="00B210FB">
        <w:rPr>
          <w:rFonts w:ascii="Arial" w:hAnsi="Arial" w:cs="Arial"/>
          <w:bCs/>
          <w:sz w:val="22"/>
          <w:szCs w:val="22"/>
        </w:rPr>
        <w:t>%.</w:t>
      </w:r>
    </w:p>
    <w:p w:rsidR="004006E9" w:rsidRDefault="004006E9" w:rsidP="004006E9">
      <w:pPr>
        <w:tabs>
          <w:tab w:val="left" w:pos="426"/>
        </w:tabs>
        <w:ind w:left="709" w:hanging="425"/>
        <w:rPr>
          <w:rFonts w:ascii="Arial" w:hAnsi="Arial" w:cs="Arial"/>
          <w:bCs/>
          <w:sz w:val="22"/>
          <w:szCs w:val="22"/>
        </w:rPr>
      </w:pPr>
    </w:p>
    <w:p w:rsidR="004006E9" w:rsidRPr="00405817" w:rsidRDefault="004006E9" w:rsidP="004006E9">
      <w:pPr>
        <w:ind w:firstLine="709"/>
        <w:rPr>
          <w:rFonts w:ascii="Arial" w:hAnsi="Arial" w:cs="Arial"/>
          <w:b/>
          <w:bCs/>
          <w:sz w:val="22"/>
          <w:szCs w:val="22"/>
        </w:rPr>
      </w:pPr>
      <w:r>
        <w:rPr>
          <w:rFonts w:ascii="Arial" w:hAnsi="Arial" w:cs="Arial"/>
          <w:b/>
          <w:bCs/>
          <w:sz w:val="22"/>
          <w:szCs w:val="22"/>
        </w:rPr>
        <w:t>Housing</w:t>
      </w:r>
      <w:r w:rsidR="00EC47A3">
        <w:rPr>
          <w:rFonts w:ascii="Arial" w:hAnsi="Arial" w:cs="Arial"/>
          <w:b/>
          <w:bCs/>
          <w:sz w:val="22"/>
          <w:szCs w:val="22"/>
        </w:rPr>
        <w:t xml:space="preserve"> &amp;</w:t>
      </w:r>
      <w:r>
        <w:rPr>
          <w:rFonts w:ascii="Arial" w:hAnsi="Arial" w:cs="Arial"/>
          <w:b/>
          <w:bCs/>
          <w:sz w:val="22"/>
          <w:szCs w:val="22"/>
        </w:rPr>
        <w:t xml:space="preserve"> Property</w:t>
      </w:r>
    </w:p>
    <w:p w:rsidR="004006E9" w:rsidRDefault="004006E9" w:rsidP="004006E9">
      <w:pPr>
        <w:tabs>
          <w:tab w:val="left" w:pos="426"/>
        </w:tabs>
        <w:ind w:left="709" w:hanging="425"/>
        <w:rPr>
          <w:rFonts w:ascii="Arial" w:hAnsi="Arial" w:cs="Arial"/>
          <w:bCs/>
          <w:sz w:val="22"/>
          <w:szCs w:val="22"/>
        </w:rPr>
      </w:pPr>
    </w:p>
    <w:p w:rsidR="004006E9" w:rsidRDefault="004006E9" w:rsidP="004006E9">
      <w:pPr>
        <w:tabs>
          <w:tab w:val="left" w:pos="426"/>
        </w:tabs>
        <w:ind w:left="709" w:hanging="425"/>
        <w:rPr>
          <w:rFonts w:ascii="Arial" w:hAnsi="Arial" w:cs="Arial"/>
          <w:bCs/>
          <w:sz w:val="22"/>
          <w:szCs w:val="22"/>
        </w:rPr>
      </w:pPr>
      <w:r>
        <w:rPr>
          <w:rFonts w:ascii="Arial" w:hAnsi="Arial" w:cs="Arial"/>
          <w:bCs/>
          <w:sz w:val="22"/>
          <w:szCs w:val="22"/>
        </w:rPr>
        <w:t>3.2</w:t>
      </w:r>
      <w:r>
        <w:rPr>
          <w:rFonts w:ascii="Arial" w:hAnsi="Arial" w:cs="Arial"/>
          <w:bCs/>
          <w:sz w:val="22"/>
          <w:szCs w:val="22"/>
        </w:rPr>
        <w:tab/>
        <w:t xml:space="preserve">Capital receipts </w:t>
      </w:r>
      <w:r w:rsidR="00B210FB">
        <w:rPr>
          <w:rFonts w:ascii="Arial" w:hAnsi="Arial" w:cs="Arial"/>
          <w:bCs/>
          <w:sz w:val="22"/>
          <w:szCs w:val="22"/>
        </w:rPr>
        <w:t>–</w:t>
      </w:r>
      <w:r>
        <w:rPr>
          <w:rFonts w:ascii="Arial" w:hAnsi="Arial" w:cs="Arial"/>
          <w:bCs/>
          <w:sz w:val="22"/>
          <w:szCs w:val="22"/>
        </w:rPr>
        <w:t xml:space="preserve"> </w:t>
      </w:r>
      <w:r w:rsidR="00B210FB">
        <w:rPr>
          <w:rFonts w:ascii="Arial" w:hAnsi="Arial" w:cs="Arial"/>
          <w:bCs/>
          <w:sz w:val="22"/>
          <w:szCs w:val="22"/>
        </w:rPr>
        <w:t xml:space="preserve">receipts to date are </w:t>
      </w:r>
      <w:r>
        <w:rPr>
          <w:rFonts w:ascii="Arial" w:hAnsi="Arial" w:cs="Arial"/>
          <w:bCs/>
          <w:sz w:val="22"/>
          <w:szCs w:val="22"/>
        </w:rPr>
        <w:t>£74,000 against a year to date target of £</w:t>
      </w:r>
      <w:r w:rsidR="00694C04">
        <w:rPr>
          <w:rFonts w:ascii="Arial" w:hAnsi="Arial" w:cs="Arial"/>
          <w:bCs/>
          <w:sz w:val="22"/>
          <w:szCs w:val="22"/>
        </w:rPr>
        <w:t>1,710</w:t>
      </w:r>
      <w:r>
        <w:rPr>
          <w:rFonts w:ascii="Arial" w:hAnsi="Arial" w:cs="Arial"/>
          <w:bCs/>
          <w:sz w:val="22"/>
          <w:szCs w:val="22"/>
        </w:rPr>
        <w:t>,000</w:t>
      </w:r>
      <w:r w:rsidR="00B210FB">
        <w:rPr>
          <w:rFonts w:ascii="Arial" w:hAnsi="Arial" w:cs="Arial"/>
          <w:bCs/>
          <w:sz w:val="22"/>
          <w:szCs w:val="22"/>
        </w:rPr>
        <w:t xml:space="preserve">, but most of the target is due to be met just before the year end with the sale of Temple </w:t>
      </w:r>
      <w:proofErr w:type="spellStart"/>
      <w:r w:rsidR="00B210FB">
        <w:rPr>
          <w:rFonts w:ascii="Arial" w:hAnsi="Arial" w:cs="Arial"/>
          <w:bCs/>
          <w:sz w:val="22"/>
          <w:szCs w:val="22"/>
        </w:rPr>
        <w:t>Cowley</w:t>
      </w:r>
      <w:proofErr w:type="spellEnd"/>
      <w:r w:rsidR="00B210FB">
        <w:rPr>
          <w:rFonts w:ascii="Arial" w:hAnsi="Arial" w:cs="Arial"/>
          <w:bCs/>
          <w:sz w:val="22"/>
          <w:szCs w:val="22"/>
        </w:rPr>
        <w:t xml:space="preserve"> Pool. </w:t>
      </w:r>
    </w:p>
    <w:p w:rsidR="00694C04" w:rsidRDefault="00694C04" w:rsidP="004006E9">
      <w:pPr>
        <w:tabs>
          <w:tab w:val="left" w:pos="426"/>
        </w:tabs>
        <w:ind w:left="709" w:hanging="425"/>
        <w:rPr>
          <w:rFonts w:ascii="Arial" w:hAnsi="Arial" w:cs="Arial"/>
          <w:bCs/>
          <w:sz w:val="22"/>
          <w:szCs w:val="22"/>
        </w:rPr>
      </w:pPr>
    </w:p>
    <w:p w:rsidR="00694C04" w:rsidRPr="00DE6E25" w:rsidRDefault="00694C04" w:rsidP="004006E9">
      <w:pPr>
        <w:tabs>
          <w:tab w:val="left" w:pos="426"/>
        </w:tabs>
        <w:ind w:left="709" w:hanging="425"/>
        <w:rPr>
          <w:rFonts w:ascii="Arial" w:hAnsi="Arial" w:cs="Arial"/>
          <w:bCs/>
          <w:sz w:val="22"/>
          <w:szCs w:val="22"/>
        </w:rPr>
      </w:pPr>
      <w:r>
        <w:rPr>
          <w:rFonts w:ascii="Arial" w:hAnsi="Arial" w:cs="Arial"/>
          <w:bCs/>
          <w:sz w:val="22"/>
          <w:szCs w:val="22"/>
        </w:rPr>
        <w:t>3.3</w:t>
      </w:r>
      <w:r>
        <w:rPr>
          <w:rFonts w:ascii="Arial" w:hAnsi="Arial" w:cs="Arial"/>
          <w:bCs/>
          <w:sz w:val="22"/>
          <w:szCs w:val="22"/>
        </w:rPr>
        <w:tab/>
        <w:t>Rental income arrears – Arrears are at 23% compared to a target performance of 5%.  This has already reduced down to 5% for January 2016 so can be viewed as an anomaly.</w:t>
      </w:r>
    </w:p>
    <w:p w:rsidR="004006E9" w:rsidRPr="00A90CB8" w:rsidRDefault="004006E9" w:rsidP="004006E9">
      <w:pPr>
        <w:ind w:firstLine="720"/>
        <w:rPr>
          <w:rFonts w:ascii="Arial" w:hAnsi="Arial" w:cs="Arial"/>
          <w:bCs/>
          <w:sz w:val="22"/>
          <w:szCs w:val="22"/>
        </w:rPr>
      </w:pPr>
    </w:p>
    <w:p w:rsidR="004006E9" w:rsidRPr="00AA1EFE" w:rsidRDefault="004006E9" w:rsidP="004006E9">
      <w:pPr>
        <w:ind w:left="709"/>
        <w:rPr>
          <w:rFonts w:ascii="Arial" w:hAnsi="Arial" w:cs="Arial"/>
          <w:bCs/>
          <w:sz w:val="22"/>
          <w:szCs w:val="22"/>
          <w:highlight w:val="yellow"/>
        </w:rPr>
      </w:pPr>
    </w:p>
    <w:p w:rsidR="004006E9" w:rsidRPr="00A90CB8" w:rsidRDefault="004006E9" w:rsidP="004006E9">
      <w:pPr>
        <w:autoSpaceDE w:val="0"/>
        <w:autoSpaceDN w:val="0"/>
        <w:adjustRightInd w:val="0"/>
        <w:spacing w:after="120"/>
        <w:ind w:left="709" w:hanging="425"/>
        <w:rPr>
          <w:rFonts w:ascii="Arial" w:hAnsi="Arial" w:cs="Arial"/>
          <w:b/>
          <w:bCs/>
          <w:color w:val="000000"/>
          <w:sz w:val="22"/>
          <w:szCs w:val="22"/>
          <w:u w:val="single"/>
        </w:rPr>
      </w:pPr>
      <w:r w:rsidRPr="00A90CB8">
        <w:rPr>
          <w:rFonts w:ascii="Arial" w:hAnsi="Arial" w:cs="Arial"/>
          <w:b/>
          <w:bCs/>
          <w:color w:val="000000"/>
          <w:sz w:val="22"/>
          <w:szCs w:val="22"/>
        </w:rPr>
        <w:t>4.</w:t>
      </w:r>
      <w:r w:rsidRPr="00A90CB8">
        <w:rPr>
          <w:rFonts w:ascii="Arial" w:hAnsi="Arial" w:cs="Arial"/>
          <w:b/>
          <w:bCs/>
          <w:color w:val="000000"/>
          <w:sz w:val="22"/>
          <w:szCs w:val="22"/>
        </w:rPr>
        <w:tab/>
      </w:r>
      <w:r w:rsidRPr="00A90CB8">
        <w:rPr>
          <w:rFonts w:ascii="Arial" w:hAnsi="Arial" w:cs="Arial"/>
          <w:b/>
          <w:bCs/>
          <w:color w:val="000000"/>
          <w:sz w:val="22"/>
          <w:szCs w:val="22"/>
          <w:u w:val="single"/>
        </w:rPr>
        <w:t>Risk Performance- Exceptions</w:t>
      </w:r>
    </w:p>
    <w:p w:rsidR="00311099" w:rsidRPr="00311099" w:rsidRDefault="00311099" w:rsidP="00311099">
      <w:pPr>
        <w:autoSpaceDE w:val="0"/>
        <w:autoSpaceDN w:val="0"/>
        <w:adjustRightInd w:val="0"/>
        <w:ind w:left="709" w:hanging="425"/>
        <w:rPr>
          <w:rFonts w:ascii="Arial" w:hAnsi="Arial" w:cs="Arial"/>
          <w:sz w:val="22"/>
          <w:szCs w:val="22"/>
        </w:rPr>
      </w:pPr>
      <w:r w:rsidRPr="00311099">
        <w:rPr>
          <w:rFonts w:ascii="Arial" w:hAnsi="Arial" w:cs="Arial"/>
          <w:sz w:val="22"/>
          <w:szCs w:val="22"/>
        </w:rPr>
        <w:t>4.1</w:t>
      </w:r>
      <w:r w:rsidRPr="00311099">
        <w:rPr>
          <w:rFonts w:ascii="Arial" w:hAnsi="Arial" w:cs="Arial"/>
          <w:sz w:val="22"/>
          <w:szCs w:val="22"/>
        </w:rPr>
        <w:tab/>
        <w:t xml:space="preserve">There are two red risks identified in Housing &amp; Property and </w:t>
      </w:r>
      <w:r w:rsidR="00B6505E">
        <w:rPr>
          <w:rFonts w:ascii="Arial" w:hAnsi="Arial" w:cs="Arial"/>
          <w:sz w:val="22"/>
          <w:szCs w:val="22"/>
        </w:rPr>
        <w:t>four</w:t>
      </w:r>
      <w:r w:rsidRPr="00311099">
        <w:rPr>
          <w:rFonts w:ascii="Arial" w:hAnsi="Arial" w:cs="Arial"/>
          <w:sz w:val="22"/>
          <w:szCs w:val="22"/>
        </w:rPr>
        <w:t xml:space="preserve"> in Planning and Regulatory.  There are also eleven amber risks listed below.  All of the amber risks are currently being managed as part of day to day business activity and are not currently expected to rise to a level of red risk</w:t>
      </w:r>
    </w:p>
    <w:p w:rsidR="00311099" w:rsidRPr="00311099" w:rsidRDefault="00311099" w:rsidP="00311099">
      <w:pPr>
        <w:autoSpaceDE w:val="0"/>
        <w:autoSpaceDN w:val="0"/>
        <w:adjustRightInd w:val="0"/>
        <w:ind w:left="709" w:hanging="425"/>
        <w:rPr>
          <w:rFonts w:ascii="Arial" w:hAnsi="Arial" w:cs="Arial"/>
          <w:sz w:val="22"/>
          <w:szCs w:val="22"/>
        </w:rPr>
      </w:pPr>
    </w:p>
    <w:p w:rsidR="00311099" w:rsidRPr="00311099" w:rsidRDefault="00311099" w:rsidP="00311099">
      <w:pPr>
        <w:ind w:left="720"/>
        <w:rPr>
          <w:rFonts w:ascii="Arial" w:hAnsi="Arial" w:cs="Arial"/>
          <w:b/>
          <w:bCs/>
          <w:sz w:val="22"/>
          <w:szCs w:val="22"/>
        </w:rPr>
      </w:pPr>
      <w:r w:rsidRPr="00311099">
        <w:rPr>
          <w:rFonts w:ascii="Arial" w:hAnsi="Arial" w:cs="Arial"/>
          <w:b/>
          <w:bCs/>
          <w:sz w:val="22"/>
          <w:szCs w:val="22"/>
        </w:rPr>
        <w:t>Red:</w:t>
      </w:r>
    </w:p>
    <w:p w:rsidR="00311099" w:rsidRPr="00311099" w:rsidRDefault="00311099" w:rsidP="00311099">
      <w:pPr>
        <w:ind w:left="720"/>
        <w:rPr>
          <w:rFonts w:ascii="Arial" w:hAnsi="Arial" w:cs="Arial"/>
          <w:bCs/>
          <w:sz w:val="22"/>
          <w:szCs w:val="22"/>
        </w:rPr>
      </w:pPr>
    </w:p>
    <w:p w:rsidR="00311099" w:rsidRPr="00311099" w:rsidRDefault="00311099" w:rsidP="00311099">
      <w:pPr>
        <w:ind w:firstLine="709"/>
        <w:rPr>
          <w:rFonts w:ascii="Arial" w:hAnsi="Arial" w:cs="Arial"/>
          <w:b/>
          <w:bCs/>
          <w:sz w:val="22"/>
          <w:szCs w:val="22"/>
        </w:rPr>
      </w:pPr>
      <w:r w:rsidRPr="00311099">
        <w:rPr>
          <w:rFonts w:ascii="Arial" w:hAnsi="Arial" w:cs="Arial"/>
          <w:b/>
          <w:bCs/>
          <w:sz w:val="22"/>
          <w:szCs w:val="22"/>
        </w:rPr>
        <w:t>Planning and Regulatory</w:t>
      </w:r>
    </w:p>
    <w:p w:rsidR="00311099" w:rsidRPr="00311099" w:rsidRDefault="00311099" w:rsidP="00311099">
      <w:pPr>
        <w:autoSpaceDE w:val="0"/>
        <w:autoSpaceDN w:val="0"/>
        <w:adjustRightInd w:val="0"/>
        <w:ind w:left="709" w:hanging="425"/>
        <w:rPr>
          <w:rFonts w:ascii="Arial" w:hAnsi="Arial" w:cs="Arial"/>
          <w:sz w:val="22"/>
          <w:szCs w:val="22"/>
        </w:rPr>
      </w:pPr>
    </w:p>
    <w:p w:rsidR="00311099" w:rsidRDefault="00311099" w:rsidP="00311099">
      <w:pPr>
        <w:autoSpaceDE w:val="0"/>
        <w:autoSpaceDN w:val="0"/>
        <w:adjustRightInd w:val="0"/>
        <w:ind w:left="709" w:hanging="425"/>
        <w:rPr>
          <w:rFonts w:ascii="Arial" w:hAnsi="Arial" w:cs="Arial"/>
          <w:sz w:val="22"/>
          <w:szCs w:val="22"/>
        </w:rPr>
      </w:pPr>
      <w:r w:rsidRPr="00311099">
        <w:rPr>
          <w:rFonts w:ascii="Arial" w:hAnsi="Arial" w:cs="Arial"/>
          <w:sz w:val="22"/>
          <w:szCs w:val="22"/>
        </w:rPr>
        <w:t>4.2</w:t>
      </w:r>
      <w:r w:rsidRPr="00311099">
        <w:rPr>
          <w:rFonts w:ascii="Arial" w:hAnsi="Arial" w:cs="Arial"/>
          <w:sz w:val="22"/>
          <w:szCs w:val="22"/>
        </w:rPr>
        <w:tab/>
      </w:r>
      <w:r w:rsidR="00B6505E">
        <w:rPr>
          <w:rFonts w:ascii="Arial" w:hAnsi="Arial" w:cs="Arial"/>
          <w:sz w:val="22"/>
          <w:szCs w:val="22"/>
        </w:rPr>
        <w:t>Delays to</w:t>
      </w:r>
      <w:r w:rsidR="00031EB0">
        <w:rPr>
          <w:rFonts w:ascii="Arial" w:hAnsi="Arial" w:cs="Arial"/>
          <w:sz w:val="22"/>
          <w:szCs w:val="22"/>
        </w:rPr>
        <w:t xml:space="preserve"> </w:t>
      </w:r>
      <w:r w:rsidR="00264BC6">
        <w:rPr>
          <w:rFonts w:ascii="Arial" w:hAnsi="Arial" w:cs="Arial"/>
          <w:sz w:val="22"/>
          <w:szCs w:val="22"/>
        </w:rPr>
        <w:t xml:space="preserve">key project milestones where there is an unavoidable dependency on the performance of outside agencies or partners e.g. statutory bodies or government agencies, to deliver part of the project or a statutory requirement or consent.  For example the new local plan for examination by the Planning Inspectorate. </w:t>
      </w:r>
      <w:r w:rsidR="00B6505E">
        <w:rPr>
          <w:rFonts w:ascii="Arial" w:hAnsi="Arial" w:cs="Arial"/>
          <w:sz w:val="22"/>
          <w:szCs w:val="22"/>
        </w:rPr>
        <w:t>.</w:t>
      </w:r>
    </w:p>
    <w:p w:rsidR="00B6505E" w:rsidRDefault="00B6505E" w:rsidP="00311099">
      <w:pPr>
        <w:autoSpaceDE w:val="0"/>
        <w:autoSpaceDN w:val="0"/>
        <w:adjustRightInd w:val="0"/>
        <w:ind w:left="709" w:hanging="425"/>
        <w:rPr>
          <w:rFonts w:ascii="Arial" w:hAnsi="Arial" w:cs="Arial"/>
          <w:sz w:val="22"/>
          <w:szCs w:val="22"/>
        </w:rPr>
      </w:pPr>
    </w:p>
    <w:p w:rsidR="00B6505E" w:rsidRDefault="00B6505E" w:rsidP="00311099">
      <w:pPr>
        <w:autoSpaceDE w:val="0"/>
        <w:autoSpaceDN w:val="0"/>
        <w:adjustRightInd w:val="0"/>
        <w:ind w:left="709" w:hanging="425"/>
        <w:rPr>
          <w:rFonts w:ascii="Arial" w:hAnsi="Arial" w:cs="Arial"/>
          <w:sz w:val="22"/>
          <w:szCs w:val="22"/>
        </w:rPr>
      </w:pPr>
      <w:r>
        <w:rPr>
          <w:rFonts w:ascii="Arial" w:hAnsi="Arial" w:cs="Arial"/>
          <w:sz w:val="22"/>
          <w:szCs w:val="22"/>
        </w:rPr>
        <w:t>4.3</w:t>
      </w:r>
      <w:r>
        <w:rPr>
          <w:rFonts w:ascii="Arial" w:hAnsi="Arial" w:cs="Arial"/>
          <w:sz w:val="22"/>
          <w:szCs w:val="22"/>
        </w:rPr>
        <w:tab/>
      </w:r>
      <w:r w:rsidRPr="00B6505E">
        <w:rPr>
          <w:rFonts w:ascii="Arial" w:hAnsi="Arial" w:cs="Arial"/>
          <w:sz w:val="22"/>
          <w:szCs w:val="22"/>
        </w:rPr>
        <w:t>Substantial changes to the planning system</w:t>
      </w:r>
      <w:r>
        <w:rPr>
          <w:rFonts w:ascii="Arial" w:hAnsi="Arial" w:cs="Arial"/>
          <w:sz w:val="22"/>
          <w:szCs w:val="22"/>
        </w:rPr>
        <w:t xml:space="preserve"> including r</w:t>
      </w:r>
      <w:r w:rsidRPr="00B6505E">
        <w:rPr>
          <w:rFonts w:ascii="Arial" w:hAnsi="Arial" w:cs="Arial"/>
          <w:sz w:val="22"/>
          <w:szCs w:val="22"/>
        </w:rPr>
        <w:t>elaxation of Change of Use, Prior Approval regime extended</w:t>
      </w:r>
      <w:r>
        <w:rPr>
          <w:rFonts w:ascii="Arial" w:hAnsi="Arial" w:cs="Arial"/>
          <w:sz w:val="22"/>
          <w:szCs w:val="22"/>
        </w:rPr>
        <w:t>, and the i</w:t>
      </w:r>
      <w:r w:rsidRPr="00B6505E">
        <w:rPr>
          <w:rFonts w:ascii="Arial" w:hAnsi="Arial" w:cs="Arial"/>
          <w:sz w:val="22"/>
          <w:szCs w:val="22"/>
        </w:rPr>
        <w:t>mpact of expectations of politicians and the local community impacting on resources and priorities</w:t>
      </w:r>
      <w:r>
        <w:rPr>
          <w:rFonts w:ascii="Arial" w:hAnsi="Arial" w:cs="Arial"/>
          <w:sz w:val="22"/>
          <w:szCs w:val="22"/>
        </w:rPr>
        <w:t>.</w:t>
      </w:r>
    </w:p>
    <w:p w:rsidR="00B6505E" w:rsidRDefault="00B6505E" w:rsidP="00311099">
      <w:pPr>
        <w:autoSpaceDE w:val="0"/>
        <w:autoSpaceDN w:val="0"/>
        <w:adjustRightInd w:val="0"/>
        <w:ind w:left="709" w:hanging="425"/>
        <w:rPr>
          <w:rFonts w:ascii="Arial" w:hAnsi="Arial" w:cs="Arial"/>
          <w:sz w:val="22"/>
          <w:szCs w:val="22"/>
        </w:rPr>
      </w:pPr>
    </w:p>
    <w:p w:rsidR="00B6505E" w:rsidRDefault="00B6505E" w:rsidP="00311099">
      <w:pPr>
        <w:autoSpaceDE w:val="0"/>
        <w:autoSpaceDN w:val="0"/>
        <w:adjustRightInd w:val="0"/>
        <w:ind w:left="709" w:hanging="425"/>
        <w:rPr>
          <w:rFonts w:ascii="Arial" w:hAnsi="Arial" w:cs="Arial"/>
          <w:sz w:val="22"/>
          <w:szCs w:val="22"/>
        </w:rPr>
      </w:pPr>
      <w:r>
        <w:rPr>
          <w:rFonts w:ascii="Arial" w:hAnsi="Arial" w:cs="Arial"/>
          <w:sz w:val="22"/>
          <w:szCs w:val="22"/>
        </w:rPr>
        <w:t>4.4</w:t>
      </w:r>
      <w:r>
        <w:rPr>
          <w:rFonts w:ascii="Arial" w:hAnsi="Arial" w:cs="Arial"/>
          <w:sz w:val="22"/>
          <w:szCs w:val="22"/>
        </w:rPr>
        <w:tab/>
      </w:r>
      <w:r w:rsidRPr="00B6505E">
        <w:rPr>
          <w:rFonts w:ascii="Arial" w:hAnsi="Arial" w:cs="Arial"/>
          <w:sz w:val="22"/>
          <w:szCs w:val="22"/>
        </w:rPr>
        <w:t>Opposition to emerging statutory plans, and to planning applications and decisions</w:t>
      </w:r>
      <w:r>
        <w:rPr>
          <w:rFonts w:ascii="Arial" w:hAnsi="Arial" w:cs="Arial"/>
          <w:sz w:val="22"/>
          <w:szCs w:val="22"/>
        </w:rPr>
        <w:t xml:space="preserve"> from:</w:t>
      </w:r>
    </w:p>
    <w:p w:rsidR="00B6505E" w:rsidRPr="00B6505E" w:rsidRDefault="00B6505E" w:rsidP="00B6505E">
      <w:pPr>
        <w:pStyle w:val="ListParagraph"/>
        <w:numPr>
          <w:ilvl w:val="0"/>
          <w:numId w:val="2"/>
        </w:numPr>
        <w:autoSpaceDE w:val="0"/>
        <w:autoSpaceDN w:val="0"/>
        <w:adjustRightInd w:val="0"/>
        <w:rPr>
          <w:rFonts w:ascii="Arial" w:hAnsi="Arial" w:cs="Arial"/>
          <w:sz w:val="22"/>
          <w:szCs w:val="22"/>
        </w:rPr>
      </w:pPr>
      <w:r w:rsidRPr="00B6505E">
        <w:rPr>
          <w:rFonts w:ascii="Arial" w:hAnsi="Arial" w:cs="Arial"/>
          <w:sz w:val="22"/>
          <w:szCs w:val="22"/>
        </w:rPr>
        <w:t xml:space="preserve">vocal and organised local opposition before decision; </w:t>
      </w:r>
    </w:p>
    <w:p w:rsidR="00B6505E" w:rsidRPr="00B6505E" w:rsidRDefault="00B6505E" w:rsidP="00B6505E">
      <w:pPr>
        <w:pStyle w:val="ListParagraph"/>
        <w:numPr>
          <w:ilvl w:val="0"/>
          <w:numId w:val="2"/>
        </w:numPr>
        <w:autoSpaceDE w:val="0"/>
        <w:autoSpaceDN w:val="0"/>
        <w:adjustRightInd w:val="0"/>
        <w:rPr>
          <w:rFonts w:ascii="Arial" w:hAnsi="Arial" w:cs="Arial"/>
          <w:sz w:val="22"/>
          <w:szCs w:val="22"/>
        </w:rPr>
      </w:pPr>
      <w:r w:rsidRPr="00B6505E">
        <w:rPr>
          <w:rFonts w:ascii="Arial" w:hAnsi="Arial" w:cs="Arial"/>
          <w:sz w:val="22"/>
          <w:szCs w:val="22"/>
        </w:rPr>
        <w:t>opposition at Examination or committee stage; or</w:t>
      </w:r>
    </w:p>
    <w:p w:rsidR="00B6505E" w:rsidRPr="00B6505E" w:rsidRDefault="00B6505E" w:rsidP="00B6505E">
      <w:pPr>
        <w:pStyle w:val="ListParagraph"/>
        <w:numPr>
          <w:ilvl w:val="0"/>
          <w:numId w:val="2"/>
        </w:numPr>
        <w:autoSpaceDE w:val="0"/>
        <w:autoSpaceDN w:val="0"/>
        <w:adjustRightInd w:val="0"/>
        <w:rPr>
          <w:rFonts w:ascii="Arial" w:hAnsi="Arial" w:cs="Arial"/>
          <w:sz w:val="22"/>
          <w:szCs w:val="22"/>
        </w:rPr>
      </w:pPr>
      <w:r w:rsidRPr="00B6505E">
        <w:rPr>
          <w:rFonts w:ascii="Arial" w:hAnsi="Arial" w:cs="Arial"/>
          <w:sz w:val="22"/>
          <w:szCs w:val="22"/>
        </w:rPr>
        <w:t>Legal Challenge after Adoption or planning decision</w:t>
      </w:r>
    </w:p>
    <w:p w:rsidR="00311099" w:rsidRDefault="00311099" w:rsidP="00B6505E">
      <w:pPr>
        <w:autoSpaceDE w:val="0"/>
        <w:autoSpaceDN w:val="0"/>
        <w:adjustRightInd w:val="0"/>
        <w:ind w:left="284"/>
        <w:rPr>
          <w:rFonts w:ascii="Arial" w:hAnsi="Arial" w:cs="Arial"/>
          <w:sz w:val="22"/>
          <w:szCs w:val="22"/>
        </w:rPr>
      </w:pPr>
    </w:p>
    <w:p w:rsidR="00B6505E" w:rsidRDefault="00B6505E" w:rsidP="00B6505E">
      <w:pPr>
        <w:autoSpaceDE w:val="0"/>
        <w:autoSpaceDN w:val="0"/>
        <w:adjustRightInd w:val="0"/>
        <w:ind w:left="709" w:hanging="425"/>
        <w:rPr>
          <w:rFonts w:ascii="Arial" w:hAnsi="Arial" w:cs="Arial"/>
          <w:sz w:val="22"/>
          <w:szCs w:val="22"/>
        </w:rPr>
      </w:pPr>
      <w:r>
        <w:rPr>
          <w:rFonts w:ascii="Arial" w:hAnsi="Arial" w:cs="Arial"/>
          <w:sz w:val="22"/>
          <w:szCs w:val="22"/>
        </w:rPr>
        <w:t>4.5</w:t>
      </w:r>
      <w:r>
        <w:rPr>
          <w:rFonts w:ascii="Arial" w:hAnsi="Arial" w:cs="Arial"/>
          <w:sz w:val="22"/>
          <w:szCs w:val="22"/>
        </w:rPr>
        <w:tab/>
        <w:t>Inability</w:t>
      </w:r>
      <w:r w:rsidRPr="00B6505E">
        <w:rPr>
          <w:rFonts w:ascii="Arial" w:hAnsi="Arial" w:cs="Arial"/>
          <w:sz w:val="22"/>
          <w:szCs w:val="22"/>
        </w:rPr>
        <w:t xml:space="preserve"> to secure </w:t>
      </w:r>
      <w:r>
        <w:rPr>
          <w:rFonts w:ascii="Arial" w:hAnsi="Arial" w:cs="Arial"/>
          <w:sz w:val="22"/>
          <w:szCs w:val="22"/>
        </w:rPr>
        <w:t xml:space="preserve">a </w:t>
      </w:r>
      <w:r w:rsidRPr="00B6505E">
        <w:rPr>
          <w:rFonts w:ascii="Arial" w:hAnsi="Arial" w:cs="Arial"/>
          <w:sz w:val="22"/>
          <w:szCs w:val="22"/>
        </w:rPr>
        <w:t>partnership agreement in order to deliver work plan commitments with pace</w:t>
      </w:r>
      <w:r>
        <w:rPr>
          <w:rFonts w:ascii="Arial" w:hAnsi="Arial" w:cs="Arial"/>
          <w:sz w:val="22"/>
          <w:szCs w:val="22"/>
        </w:rPr>
        <w:t xml:space="preserve"> required </w:t>
      </w:r>
      <w:proofErr w:type="gramStart"/>
      <w:r>
        <w:rPr>
          <w:rFonts w:ascii="Arial" w:hAnsi="Arial" w:cs="Arial"/>
          <w:sz w:val="22"/>
          <w:szCs w:val="22"/>
        </w:rPr>
        <w:t>to deliver</w:t>
      </w:r>
      <w:proofErr w:type="gramEnd"/>
      <w:r>
        <w:rPr>
          <w:rFonts w:ascii="Arial" w:hAnsi="Arial" w:cs="Arial"/>
          <w:sz w:val="22"/>
          <w:szCs w:val="22"/>
        </w:rPr>
        <w:t xml:space="preserve"> the</w:t>
      </w:r>
      <w:r w:rsidRPr="00B6505E">
        <w:rPr>
          <w:rFonts w:ascii="Arial" w:hAnsi="Arial" w:cs="Arial"/>
          <w:sz w:val="22"/>
          <w:szCs w:val="22"/>
        </w:rPr>
        <w:t xml:space="preserve"> work plan </w:t>
      </w:r>
      <w:r>
        <w:rPr>
          <w:rFonts w:ascii="Arial" w:hAnsi="Arial" w:cs="Arial"/>
          <w:sz w:val="22"/>
          <w:szCs w:val="22"/>
        </w:rPr>
        <w:t xml:space="preserve">of </w:t>
      </w:r>
      <w:r w:rsidRPr="00B6505E">
        <w:rPr>
          <w:rFonts w:ascii="Arial" w:hAnsi="Arial" w:cs="Arial"/>
          <w:sz w:val="22"/>
          <w:szCs w:val="22"/>
        </w:rPr>
        <w:t>Oxford Growth strategy and related work including City Deal scheme implementa</w:t>
      </w:r>
      <w:r>
        <w:rPr>
          <w:rFonts w:ascii="Arial" w:hAnsi="Arial" w:cs="Arial"/>
          <w:sz w:val="22"/>
          <w:szCs w:val="22"/>
        </w:rPr>
        <w:t>tion.</w:t>
      </w:r>
    </w:p>
    <w:p w:rsidR="00B6505E" w:rsidRPr="00311099" w:rsidRDefault="00B6505E" w:rsidP="00B6505E">
      <w:pPr>
        <w:autoSpaceDE w:val="0"/>
        <w:autoSpaceDN w:val="0"/>
        <w:adjustRightInd w:val="0"/>
        <w:ind w:left="284"/>
        <w:rPr>
          <w:rFonts w:ascii="Arial" w:hAnsi="Arial" w:cs="Arial"/>
          <w:sz w:val="22"/>
          <w:szCs w:val="22"/>
        </w:rPr>
      </w:pPr>
    </w:p>
    <w:p w:rsidR="00311099" w:rsidRPr="00311099" w:rsidRDefault="00311099" w:rsidP="00311099">
      <w:pPr>
        <w:ind w:firstLine="709"/>
        <w:rPr>
          <w:rFonts w:ascii="Arial" w:hAnsi="Arial" w:cs="Arial"/>
          <w:b/>
          <w:bCs/>
          <w:sz w:val="22"/>
          <w:szCs w:val="22"/>
        </w:rPr>
      </w:pPr>
      <w:r w:rsidRPr="00311099">
        <w:rPr>
          <w:rFonts w:ascii="Arial" w:hAnsi="Arial" w:cs="Arial"/>
          <w:b/>
          <w:bCs/>
          <w:sz w:val="22"/>
          <w:szCs w:val="22"/>
        </w:rPr>
        <w:t>Housing and Property</w:t>
      </w:r>
    </w:p>
    <w:p w:rsidR="00311099" w:rsidRPr="00311099" w:rsidRDefault="00311099" w:rsidP="00311099">
      <w:pPr>
        <w:autoSpaceDE w:val="0"/>
        <w:autoSpaceDN w:val="0"/>
        <w:adjustRightInd w:val="0"/>
        <w:ind w:left="709"/>
        <w:rPr>
          <w:rFonts w:ascii="Arial" w:hAnsi="Arial" w:cs="Arial"/>
          <w:sz w:val="22"/>
          <w:szCs w:val="22"/>
        </w:rPr>
      </w:pPr>
    </w:p>
    <w:p w:rsidR="00311099" w:rsidRPr="00311099" w:rsidRDefault="00311099" w:rsidP="00311099">
      <w:pPr>
        <w:autoSpaceDE w:val="0"/>
        <w:autoSpaceDN w:val="0"/>
        <w:adjustRightInd w:val="0"/>
        <w:ind w:left="709" w:hanging="425"/>
        <w:rPr>
          <w:rFonts w:ascii="Arial" w:hAnsi="Arial" w:cs="Arial"/>
          <w:sz w:val="22"/>
          <w:szCs w:val="22"/>
        </w:rPr>
      </w:pPr>
      <w:r w:rsidRPr="00311099">
        <w:rPr>
          <w:rFonts w:ascii="Arial" w:hAnsi="Arial" w:cs="Arial"/>
          <w:sz w:val="22"/>
          <w:szCs w:val="22"/>
        </w:rPr>
        <w:t>4.6</w:t>
      </w:r>
      <w:r w:rsidRPr="00311099">
        <w:rPr>
          <w:rFonts w:ascii="Arial" w:hAnsi="Arial" w:cs="Arial"/>
          <w:sz w:val="22"/>
          <w:szCs w:val="22"/>
        </w:rPr>
        <w:tab/>
        <w:t>Implications on the HRA business plan and the delivery of planned investments in social housing arising from the announcements contained in the Chancellor’s Summer Budget in July.  Some changes are required to be made to the HRA Business Plan to help mitigate the pressures are being determined through the budget setting cycle.</w:t>
      </w:r>
    </w:p>
    <w:p w:rsidR="00311099" w:rsidRPr="00311099" w:rsidRDefault="00311099" w:rsidP="00311099">
      <w:pPr>
        <w:autoSpaceDE w:val="0"/>
        <w:autoSpaceDN w:val="0"/>
        <w:adjustRightInd w:val="0"/>
        <w:ind w:left="709" w:hanging="425"/>
        <w:rPr>
          <w:rFonts w:ascii="Arial" w:hAnsi="Arial" w:cs="Arial"/>
          <w:sz w:val="22"/>
          <w:szCs w:val="22"/>
        </w:rPr>
      </w:pPr>
    </w:p>
    <w:p w:rsidR="00311099" w:rsidRPr="00311099" w:rsidRDefault="00311099" w:rsidP="00311099">
      <w:pPr>
        <w:autoSpaceDE w:val="0"/>
        <w:autoSpaceDN w:val="0"/>
        <w:adjustRightInd w:val="0"/>
        <w:ind w:left="709" w:hanging="425"/>
        <w:rPr>
          <w:rFonts w:ascii="Arial" w:hAnsi="Arial" w:cs="Arial"/>
          <w:sz w:val="22"/>
          <w:szCs w:val="22"/>
        </w:rPr>
      </w:pPr>
      <w:r w:rsidRPr="00311099">
        <w:rPr>
          <w:rFonts w:ascii="Arial" w:hAnsi="Arial" w:cs="Arial"/>
          <w:sz w:val="22"/>
          <w:szCs w:val="22"/>
        </w:rPr>
        <w:t>4.7</w:t>
      </w:r>
      <w:r w:rsidRPr="00311099">
        <w:rPr>
          <w:rFonts w:ascii="Arial" w:hAnsi="Arial" w:cs="Arial"/>
          <w:sz w:val="22"/>
          <w:szCs w:val="22"/>
        </w:rPr>
        <w:tab/>
        <w:t>Increased costs of homelessness resulting</w:t>
      </w:r>
      <w:r w:rsidR="00232425">
        <w:rPr>
          <w:rFonts w:ascii="Arial" w:hAnsi="Arial" w:cs="Arial"/>
          <w:sz w:val="22"/>
          <w:szCs w:val="22"/>
        </w:rPr>
        <w:t xml:space="preserve"> from</w:t>
      </w:r>
      <w:r w:rsidRPr="00311099">
        <w:rPr>
          <w:rFonts w:ascii="Arial" w:hAnsi="Arial" w:cs="Arial"/>
          <w:sz w:val="22"/>
          <w:szCs w:val="22"/>
        </w:rPr>
        <w:t xml:space="preserve"> less effective homelessness prevention work and higher homelessness acceptance.</w:t>
      </w:r>
    </w:p>
    <w:p w:rsidR="00311099" w:rsidRPr="00311099" w:rsidRDefault="00311099" w:rsidP="00311099">
      <w:pPr>
        <w:autoSpaceDE w:val="0"/>
        <w:autoSpaceDN w:val="0"/>
        <w:adjustRightInd w:val="0"/>
        <w:ind w:left="709"/>
        <w:rPr>
          <w:rFonts w:ascii="Arial" w:hAnsi="Arial" w:cs="Arial"/>
          <w:sz w:val="22"/>
          <w:szCs w:val="22"/>
        </w:rPr>
      </w:pPr>
    </w:p>
    <w:p w:rsidR="00311099" w:rsidRPr="00311099" w:rsidRDefault="00311099" w:rsidP="00311099">
      <w:pPr>
        <w:ind w:left="709"/>
        <w:rPr>
          <w:rFonts w:ascii="Arial" w:hAnsi="Arial" w:cs="Arial"/>
          <w:b/>
          <w:bCs/>
          <w:sz w:val="22"/>
          <w:szCs w:val="22"/>
        </w:rPr>
      </w:pPr>
      <w:r w:rsidRPr="00311099">
        <w:rPr>
          <w:rFonts w:ascii="Arial" w:hAnsi="Arial" w:cs="Arial"/>
          <w:b/>
          <w:bCs/>
          <w:sz w:val="22"/>
          <w:szCs w:val="22"/>
        </w:rPr>
        <w:t>Amber:</w:t>
      </w:r>
    </w:p>
    <w:p w:rsidR="00311099" w:rsidRPr="00311099" w:rsidRDefault="00311099" w:rsidP="00311099">
      <w:pPr>
        <w:autoSpaceDE w:val="0"/>
        <w:autoSpaceDN w:val="0"/>
        <w:adjustRightInd w:val="0"/>
        <w:ind w:left="709"/>
        <w:rPr>
          <w:rFonts w:ascii="Arial" w:hAnsi="Arial" w:cs="Arial"/>
          <w:sz w:val="22"/>
          <w:szCs w:val="22"/>
        </w:rPr>
      </w:pPr>
    </w:p>
    <w:p w:rsidR="00311099" w:rsidRPr="00311099" w:rsidRDefault="00311099" w:rsidP="00311099">
      <w:pPr>
        <w:ind w:firstLine="709"/>
        <w:rPr>
          <w:rFonts w:ascii="Arial" w:hAnsi="Arial" w:cs="Arial"/>
          <w:b/>
          <w:bCs/>
          <w:sz w:val="22"/>
          <w:szCs w:val="22"/>
        </w:rPr>
      </w:pPr>
      <w:r w:rsidRPr="00311099">
        <w:rPr>
          <w:rFonts w:ascii="Arial" w:hAnsi="Arial" w:cs="Arial"/>
          <w:b/>
          <w:bCs/>
          <w:sz w:val="22"/>
          <w:szCs w:val="22"/>
        </w:rPr>
        <w:t>Planning and Regulatory</w:t>
      </w:r>
    </w:p>
    <w:p w:rsidR="00311099" w:rsidRPr="00311099" w:rsidRDefault="00311099" w:rsidP="00311099">
      <w:pPr>
        <w:autoSpaceDE w:val="0"/>
        <w:autoSpaceDN w:val="0"/>
        <w:adjustRightInd w:val="0"/>
        <w:ind w:left="709" w:hanging="425"/>
        <w:rPr>
          <w:rFonts w:ascii="Arial" w:hAnsi="Arial" w:cs="Arial"/>
          <w:sz w:val="22"/>
          <w:szCs w:val="22"/>
        </w:rPr>
      </w:pPr>
    </w:p>
    <w:p w:rsidR="00311099" w:rsidRPr="00311099" w:rsidRDefault="00311099" w:rsidP="00311099">
      <w:pPr>
        <w:autoSpaceDE w:val="0"/>
        <w:autoSpaceDN w:val="0"/>
        <w:adjustRightInd w:val="0"/>
        <w:ind w:left="709" w:hanging="425"/>
        <w:rPr>
          <w:rFonts w:ascii="Arial" w:hAnsi="Arial" w:cs="Arial"/>
          <w:sz w:val="22"/>
          <w:szCs w:val="22"/>
        </w:rPr>
      </w:pPr>
      <w:r w:rsidRPr="00311099">
        <w:rPr>
          <w:rFonts w:ascii="Arial" w:hAnsi="Arial" w:cs="Arial"/>
          <w:sz w:val="22"/>
          <w:szCs w:val="22"/>
        </w:rPr>
        <w:t>4.8</w:t>
      </w:r>
      <w:r w:rsidRPr="00311099">
        <w:rPr>
          <w:rFonts w:ascii="Arial" w:hAnsi="Arial" w:cs="Arial"/>
          <w:sz w:val="22"/>
          <w:szCs w:val="22"/>
        </w:rPr>
        <w:tab/>
      </w:r>
      <w:r w:rsidR="00B6505E">
        <w:rPr>
          <w:rFonts w:ascii="Arial" w:hAnsi="Arial" w:cs="Arial"/>
          <w:sz w:val="22"/>
          <w:szCs w:val="22"/>
        </w:rPr>
        <w:t>Six</w:t>
      </w:r>
      <w:r w:rsidRPr="00311099">
        <w:rPr>
          <w:rFonts w:ascii="Arial" w:hAnsi="Arial" w:cs="Arial"/>
          <w:sz w:val="22"/>
          <w:szCs w:val="22"/>
        </w:rPr>
        <w:t xml:space="preserve"> amber risks have been identified in this area relating to various service issues: not embedding HMO licensing, </w:t>
      </w:r>
      <w:r w:rsidR="00B6505E">
        <w:rPr>
          <w:rFonts w:ascii="Arial" w:hAnsi="Arial" w:cs="Arial"/>
          <w:sz w:val="22"/>
          <w:szCs w:val="22"/>
        </w:rPr>
        <w:t xml:space="preserve">major service failure due to significant loss of ICT or staff, </w:t>
      </w:r>
      <w:r w:rsidRPr="00311099">
        <w:rPr>
          <w:rFonts w:ascii="Arial" w:hAnsi="Arial" w:cs="Arial"/>
          <w:sz w:val="22"/>
          <w:szCs w:val="22"/>
        </w:rPr>
        <w:t xml:space="preserve">managing workloads, </w:t>
      </w:r>
      <w:r w:rsidR="00B6505E">
        <w:rPr>
          <w:rFonts w:ascii="Arial" w:hAnsi="Arial" w:cs="Arial"/>
          <w:sz w:val="22"/>
          <w:szCs w:val="22"/>
        </w:rPr>
        <w:t xml:space="preserve">service specific project delays, </w:t>
      </w:r>
      <w:r w:rsidR="00B6505E" w:rsidRPr="00B6505E">
        <w:rPr>
          <w:rFonts w:ascii="Arial" w:hAnsi="Arial" w:cs="Arial"/>
          <w:sz w:val="22"/>
          <w:szCs w:val="22"/>
        </w:rPr>
        <w:t>non-achievement of income targets</w:t>
      </w:r>
      <w:r w:rsidR="00B6505E">
        <w:rPr>
          <w:rFonts w:ascii="Arial" w:hAnsi="Arial" w:cs="Arial"/>
          <w:sz w:val="22"/>
          <w:szCs w:val="22"/>
        </w:rPr>
        <w:t>, and public health protection</w:t>
      </w:r>
      <w:r w:rsidRPr="00311099">
        <w:rPr>
          <w:rFonts w:ascii="Arial" w:hAnsi="Arial" w:cs="Arial"/>
          <w:sz w:val="22"/>
          <w:szCs w:val="22"/>
        </w:rPr>
        <w:t>.</w:t>
      </w:r>
    </w:p>
    <w:p w:rsidR="00311099" w:rsidRPr="00311099" w:rsidRDefault="00311099" w:rsidP="00311099">
      <w:pPr>
        <w:autoSpaceDE w:val="0"/>
        <w:autoSpaceDN w:val="0"/>
        <w:adjustRightInd w:val="0"/>
        <w:ind w:left="709" w:hanging="425"/>
        <w:rPr>
          <w:rFonts w:ascii="Arial" w:hAnsi="Arial" w:cs="Arial"/>
          <w:sz w:val="22"/>
          <w:szCs w:val="22"/>
        </w:rPr>
      </w:pPr>
    </w:p>
    <w:p w:rsidR="00311099" w:rsidRPr="00311099" w:rsidRDefault="00311099" w:rsidP="00311099">
      <w:pPr>
        <w:ind w:firstLine="709"/>
        <w:rPr>
          <w:rFonts w:ascii="Arial" w:hAnsi="Arial" w:cs="Arial"/>
          <w:b/>
          <w:bCs/>
          <w:sz w:val="22"/>
          <w:szCs w:val="22"/>
        </w:rPr>
      </w:pPr>
      <w:r w:rsidRPr="00311099">
        <w:rPr>
          <w:rFonts w:ascii="Arial" w:hAnsi="Arial" w:cs="Arial"/>
          <w:b/>
          <w:bCs/>
          <w:sz w:val="22"/>
          <w:szCs w:val="22"/>
        </w:rPr>
        <w:t>Housing and Property</w:t>
      </w:r>
    </w:p>
    <w:p w:rsidR="00311099" w:rsidRPr="00311099" w:rsidRDefault="00311099" w:rsidP="00311099">
      <w:pPr>
        <w:autoSpaceDE w:val="0"/>
        <w:autoSpaceDN w:val="0"/>
        <w:adjustRightInd w:val="0"/>
        <w:ind w:left="709" w:hanging="425"/>
        <w:rPr>
          <w:rFonts w:ascii="Arial" w:hAnsi="Arial" w:cs="Arial"/>
          <w:sz w:val="22"/>
          <w:szCs w:val="22"/>
        </w:rPr>
      </w:pPr>
    </w:p>
    <w:p w:rsidR="00311099" w:rsidRPr="00311099" w:rsidRDefault="00311099" w:rsidP="00311099">
      <w:pPr>
        <w:autoSpaceDE w:val="0"/>
        <w:autoSpaceDN w:val="0"/>
        <w:adjustRightInd w:val="0"/>
        <w:ind w:left="709" w:hanging="425"/>
        <w:rPr>
          <w:rFonts w:ascii="Arial" w:hAnsi="Arial" w:cs="Arial"/>
          <w:sz w:val="22"/>
          <w:szCs w:val="22"/>
        </w:rPr>
      </w:pPr>
      <w:r w:rsidRPr="00311099">
        <w:rPr>
          <w:rFonts w:ascii="Arial" w:hAnsi="Arial" w:cs="Arial"/>
          <w:sz w:val="22"/>
          <w:szCs w:val="22"/>
        </w:rPr>
        <w:t>4.9</w:t>
      </w:r>
      <w:r w:rsidRPr="00311099">
        <w:rPr>
          <w:rFonts w:ascii="Arial" w:hAnsi="Arial" w:cs="Arial"/>
          <w:sz w:val="22"/>
          <w:szCs w:val="22"/>
        </w:rPr>
        <w:tab/>
        <w:t>Five amber risks have been identified in this area relating to various service issues: inability to recruit and/or retain staff on proposed terms and conditions, delivery failure of adult homelessness pathway, property related health &amp; safety failure, delivery failure of affordable housing and ICT re-investment projects - delivery failure.</w:t>
      </w:r>
    </w:p>
    <w:p w:rsidR="00965865" w:rsidRDefault="00965865" w:rsidP="00965865">
      <w:pPr>
        <w:autoSpaceDE w:val="0"/>
        <w:autoSpaceDN w:val="0"/>
        <w:adjustRightInd w:val="0"/>
        <w:ind w:left="709" w:hanging="425"/>
        <w:rPr>
          <w:rFonts w:ascii="Arial" w:hAnsi="Arial" w:cs="Arial"/>
          <w:sz w:val="22"/>
          <w:szCs w:val="22"/>
        </w:rPr>
      </w:pPr>
    </w:p>
    <w:sectPr w:rsidR="00965865" w:rsidSect="004F040E">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DC" w:rsidRDefault="00C634DC">
      <w:r>
        <w:separator/>
      </w:r>
    </w:p>
  </w:endnote>
  <w:endnote w:type="continuationSeparator" w:id="0">
    <w:p w:rsidR="00C634DC" w:rsidRDefault="00C6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26" w:rsidRDefault="00944326" w:rsidP="003D0B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D99">
      <w:rPr>
        <w:rStyle w:val="PageNumber"/>
        <w:noProof/>
      </w:rPr>
      <w:t>1</w:t>
    </w:r>
    <w:r>
      <w:rPr>
        <w:rStyle w:val="PageNumber"/>
      </w:rPr>
      <w:fldChar w:fldCharType="end"/>
    </w:r>
  </w:p>
  <w:p w:rsidR="00944326" w:rsidRDefault="00944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DC" w:rsidRDefault="00C634DC">
      <w:r>
        <w:separator/>
      </w:r>
    </w:p>
  </w:footnote>
  <w:footnote w:type="continuationSeparator" w:id="0">
    <w:p w:rsidR="00C634DC" w:rsidRDefault="00C63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70FC"/>
    <w:multiLevelType w:val="multilevel"/>
    <w:tmpl w:val="C47EAA06"/>
    <w:lvl w:ilvl="0">
      <w:start w:val="1"/>
      <w:numFmt w:val="decimal"/>
      <w:lvlText w:val="%1."/>
      <w:lvlJc w:val="left"/>
      <w:pPr>
        <w:ind w:left="1080" w:hanging="720"/>
      </w:pPr>
      <w:rPr>
        <w:rFonts w:cs="Times New Roman" w:hint="default"/>
        <w:u w:val="none"/>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39738C6"/>
    <w:multiLevelType w:val="hybridMultilevel"/>
    <w:tmpl w:val="A0C8B5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AF"/>
    <w:rsid w:val="00030482"/>
    <w:rsid w:val="00031EB0"/>
    <w:rsid w:val="000F5566"/>
    <w:rsid w:val="001B15D1"/>
    <w:rsid w:val="00232425"/>
    <w:rsid w:val="00264BC6"/>
    <w:rsid w:val="002B0265"/>
    <w:rsid w:val="003067D9"/>
    <w:rsid w:val="00311099"/>
    <w:rsid w:val="00331E1C"/>
    <w:rsid w:val="003C28D0"/>
    <w:rsid w:val="003D0BB4"/>
    <w:rsid w:val="003E029A"/>
    <w:rsid w:val="004006E9"/>
    <w:rsid w:val="00405817"/>
    <w:rsid w:val="00451F68"/>
    <w:rsid w:val="004C38A9"/>
    <w:rsid w:val="004F040E"/>
    <w:rsid w:val="00522937"/>
    <w:rsid w:val="0056419E"/>
    <w:rsid w:val="00634079"/>
    <w:rsid w:val="00682101"/>
    <w:rsid w:val="00694C04"/>
    <w:rsid w:val="006E6B77"/>
    <w:rsid w:val="00782C52"/>
    <w:rsid w:val="007D3858"/>
    <w:rsid w:val="00855726"/>
    <w:rsid w:val="0087114D"/>
    <w:rsid w:val="00944326"/>
    <w:rsid w:val="00965865"/>
    <w:rsid w:val="009F565D"/>
    <w:rsid w:val="00A01911"/>
    <w:rsid w:val="00A06D2A"/>
    <w:rsid w:val="00A520FA"/>
    <w:rsid w:val="00A90CB8"/>
    <w:rsid w:val="00AA1EFE"/>
    <w:rsid w:val="00B1640C"/>
    <w:rsid w:val="00B210FB"/>
    <w:rsid w:val="00B607AE"/>
    <w:rsid w:val="00B6505E"/>
    <w:rsid w:val="00C634DC"/>
    <w:rsid w:val="00CB4AAF"/>
    <w:rsid w:val="00CC6379"/>
    <w:rsid w:val="00CF7751"/>
    <w:rsid w:val="00D566E8"/>
    <w:rsid w:val="00D97B2E"/>
    <w:rsid w:val="00DE6E25"/>
    <w:rsid w:val="00E10A81"/>
    <w:rsid w:val="00E421CC"/>
    <w:rsid w:val="00E440F0"/>
    <w:rsid w:val="00EA4790"/>
    <w:rsid w:val="00EC47A3"/>
    <w:rsid w:val="00F32D99"/>
    <w:rsid w:val="00F3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4AA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CB4AAF"/>
    <w:rPr>
      <w:rFonts w:cs="Times New Roman"/>
    </w:rPr>
  </w:style>
  <w:style w:type="paragraph" w:styleId="ListParagraph">
    <w:name w:val="List Paragraph"/>
    <w:basedOn w:val="Normal"/>
    <w:uiPriority w:val="34"/>
    <w:qFormat/>
    <w:rsid w:val="00B6505E"/>
    <w:pPr>
      <w:ind w:left="720"/>
      <w:contextualSpacing/>
    </w:pPr>
  </w:style>
  <w:style w:type="character" w:styleId="CommentReference">
    <w:name w:val="annotation reference"/>
    <w:basedOn w:val="DefaultParagraphFont"/>
    <w:uiPriority w:val="99"/>
    <w:semiHidden/>
    <w:unhideWhenUsed/>
    <w:rsid w:val="00A520FA"/>
    <w:rPr>
      <w:sz w:val="16"/>
      <w:szCs w:val="16"/>
    </w:rPr>
  </w:style>
  <w:style w:type="paragraph" w:styleId="CommentText">
    <w:name w:val="annotation text"/>
    <w:basedOn w:val="Normal"/>
    <w:link w:val="CommentTextChar"/>
    <w:uiPriority w:val="99"/>
    <w:semiHidden/>
    <w:unhideWhenUsed/>
    <w:rsid w:val="00A520FA"/>
    <w:rPr>
      <w:sz w:val="20"/>
      <w:szCs w:val="20"/>
    </w:rPr>
  </w:style>
  <w:style w:type="character" w:customStyle="1" w:styleId="CommentTextChar">
    <w:name w:val="Comment Text Char"/>
    <w:basedOn w:val="DefaultParagraphFont"/>
    <w:link w:val="CommentText"/>
    <w:uiPriority w:val="99"/>
    <w:semiHidden/>
    <w:rsid w:val="00A520FA"/>
    <w:rPr>
      <w:sz w:val="20"/>
      <w:szCs w:val="20"/>
    </w:rPr>
  </w:style>
  <w:style w:type="paragraph" w:styleId="CommentSubject">
    <w:name w:val="annotation subject"/>
    <w:basedOn w:val="CommentText"/>
    <w:next w:val="CommentText"/>
    <w:link w:val="CommentSubjectChar"/>
    <w:uiPriority w:val="99"/>
    <w:semiHidden/>
    <w:unhideWhenUsed/>
    <w:rsid w:val="00A520FA"/>
    <w:rPr>
      <w:b/>
      <w:bCs/>
    </w:rPr>
  </w:style>
  <w:style w:type="character" w:customStyle="1" w:styleId="CommentSubjectChar">
    <w:name w:val="Comment Subject Char"/>
    <w:basedOn w:val="CommentTextChar"/>
    <w:link w:val="CommentSubject"/>
    <w:uiPriority w:val="99"/>
    <w:semiHidden/>
    <w:rsid w:val="00A520FA"/>
    <w:rPr>
      <w:b/>
      <w:bCs/>
      <w:sz w:val="20"/>
      <w:szCs w:val="20"/>
    </w:rPr>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4AA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CB4AAF"/>
    <w:rPr>
      <w:rFonts w:cs="Times New Roman"/>
    </w:rPr>
  </w:style>
  <w:style w:type="paragraph" w:styleId="ListParagraph">
    <w:name w:val="List Paragraph"/>
    <w:basedOn w:val="Normal"/>
    <w:uiPriority w:val="34"/>
    <w:qFormat/>
    <w:rsid w:val="00B6505E"/>
    <w:pPr>
      <w:ind w:left="720"/>
      <w:contextualSpacing/>
    </w:pPr>
  </w:style>
  <w:style w:type="character" w:styleId="CommentReference">
    <w:name w:val="annotation reference"/>
    <w:basedOn w:val="DefaultParagraphFont"/>
    <w:uiPriority w:val="99"/>
    <w:semiHidden/>
    <w:unhideWhenUsed/>
    <w:rsid w:val="00A520FA"/>
    <w:rPr>
      <w:sz w:val="16"/>
      <w:szCs w:val="16"/>
    </w:rPr>
  </w:style>
  <w:style w:type="paragraph" w:styleId="CommentText">
    <w:name w:val="annotation text"/>
    <w:basedOn w:val="Normal"/>
    <w:link w:val="CommentTextChar"/>
    <w:uiPriority w:val="99"/>
    <w:semiHidden/>
    <w:unhideWhenUsed/>
    <w:rsid w:val="00A520FA"/>
    <w:rPr>
      <w:sz w:val="20"/>
      <w:szCs w:val="20"/>
    </w:rPr>
  </w:style>
  <w:style w:type="character" w:customStyle="1" w:styleId="CommentTextChar">
    <w:name w:val="Comment Text Char"/>
    <w:basedOn w:val="DefaultParagraphFont"/>
    <w:link w:val="CommentText"/>
    <w:uiPriority w:val="99"/>
    <w:semiHidden/>
    <w:rsid w:val="00A520FA"/>
    <w:rPr>
      <w:sz w:val="20"/>
      <w:szCs w:val="20"/>
    </w:rPr>
  </w:style>
  <w:style w:type="paragraph" w:styleId="CommentSubject">
    <w:name w:val="annotation subject"/>
    <w:basedOn w:val="CommentText"/>
    <w:next w:val="CommentText"/>
    <w:link w:val="CommentSubjectChar"/>
    <w:uiPriority w:val="99"/>
    <w:semiHidden/>
    <w:unhideWhenUsed/>
    <w:rsid w:val="00A520FA"/>
    <w:rPr>
      <w:b/>
      <w:bCs/>
    </w:rPr>
  </w:style>
  <w:style w:type="character" w:customStyle="1" w:styleId="CommentSubjectChar">
    <w:name w:val="Comment Subject Char"/>
    <w:basedOn w:val="CommentTextChar"/>
    <w:link w:val="CommentSubject"/>
    <w:uiPriority w:val="99"/>
    <w:semiHidden/>
    <w:rsid w:val="00A520FA"/>
    <w:rPr>
      <w:b/>
      <w:bCs/>
      <w:sz w:val="20"/>
      <w:szCs w:val="20"/>
    </w:rPr>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6879">
      <w:bodyDiv w:val="1"/>
      <w:marLeft w:val="0"/>
      <w:marRight w:val="0"/>
      <w:marTop w:val="0"/>
      <w:marBottom w:val="0"/>
      <w:divBdr>
        <w:top w:val="none" w:sz="0" w:space="0" w:color="auto"/>
        <w:left w:val="none" w:sz="0" w:space="0" w:color="auto"/>
        <w:bottom w:val="none" w:sz="0" w:space="0" w:color="auto"/>
        <w:right w:val="none" w:sz="0" w:space="0" w:color="auto"/>
      </w:divBdr>
    </w:div>
    <w:div w:id="435054399">
      <w:marLeft w:val="0"/>
      <w:marRight w:val="0"/>
      <w:marTop w:val="0"/>
      <w:marBottom w:val="0"/>
      <w:divBdr>
        <w:top w:val="none" w:sz="0" w:space="0" w:color="auto"/>
        <w:left w:val="none" w:sz="0" w:space="0" w:color="auto"/>
        <w:bottom w:val="none" w:sz="0" w:space="0" w:color="auto"/>
        <w:right w:val="none" w:sz="0" w:space="0" w:color="auto"/>
      </w:divBdr>
    </w:div>
    <w:div w:id="4350544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950EC7DD</Template>
  <TotalTime>13</TotalTime>
  <Pages>3</Pages>
  <Words>907</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rbyrom</dc:creator>
  <cp:lastModifiedBy>AppV Sequencer Account</cp:lastModifiedBy>
  <cp:revision>3</cp:revision>
  <dcterms:created xsi:type="dcterms:W3CDTF">2016-02-19T16:29:00Z</dcterms:created>
  <dcterms:modified xsi:type="dcterms:W3CDTF">2016-02-23T09:58:00Z</dcterms:modified>
</cp:coreProperties>
</file>